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89BB6" w14:textId="22FB1010" w:rsidR="004B50AA" w:rsidRDefault="004B50AA" w:rsidP="00C67253">
      <w:pPr>
        <w:pStyle w:val="Normal"/>
        <w:tabs>
          <w:tab w:val="left" w:pos="4025"/>
          <w:tab w:val="left" w:pos="10206"/>
          <w:tab w:val="left" w:pos="11340"/>
          <w:tab w:val="left" w:pos="12474"/>
          <w:tab w:val="left" w:pos="13608"/>
          <w:tab w:val="left" w:pos="14742"/>
          <w:tab w:val="left" w:pos="15876"/>
        </w:tabs>
        <w:ind w:right="1870"/>
        <w:rPr>
          <w:b/>
          <w:bCs/>
          <w:sz w:val="28"/>
          <w:szCs w:val="28"/>
        </w:rPr>
      </w:pPr>
      <w:bookmarkStart w:id="0" w:name="_GoBack"/>
      <w:bookmarkEnd w:id="0"/>
      <w:r>
        <w:rPr>
          <w:b/>
          <w:bCs/>
          <w:sz w:val="28"/>
          <w:szCs w:val="28"/>
        </w:rPr>
        <w:t>Textes pour appels d’offres</w:t>
      </w:r>
    </w:p>
    <w:p w14:paraId="205A83A4" w14:textId="06B866AD" w:rsidR="004B50AA" w:rsidRDefault="004B50AA" w:rsidP="00C67253">
      <w:pPr>
        <w:pStyle w:val="Normal"/>
        <w:tabs>
          <w:tab w:val="left" w:pos="4025"/>
          <w:tab w:val="left" w:pos="10206"/>
          <w:tab w:val="left" w:pos="11340"/>
          <w:tab w:val="left" w:pos="12474"/>
          <w:tab w:val="left" w:pos="13608"/>
          <w:tab w:val="left" w:pos="14742"/>
          <w:tab w:val="left" w:pos="15876"/>
        </w:tabs>
        <w:ind w:right="1870"/>
        <w:rPr>
          <w:sz w:val="22"/>
          <w:szCs w:val="22"/>
        </w:rPr>
      </w:pPr>
      <w:r>
        <w:rPr>
          <w:sz w:val="20"/>
          <w:szCs w:val="20"/>
        </w:rPr>
        <w:t>Toitures et façades PREFA 2018-06</w:t>
      </w:r>
    </w:p>
    <w:p w14:paraId="4B78DAFB" w14:textId="77777777" w:rsidR="00C67253" w:rsidRDefault="00C67253" w:rsidP="00C67253">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7675B60F"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LV 01 Toitures PREFA</w:t>
      </w:r>
    </w:p>
    <w:p w14:paraId="1CD6465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355A98F"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Titre 01:01 Tuile PREFA</w:t>
      </w:r>
    </w:p>
    <w:p w14:paraId="6856BBF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27718C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DFF514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REMARQUES PRÉLIMINAIRES GÉNÉRALES</w:t>
      </w:r>
    </w:p>
    <w:p w14:paraId="16DE04B6"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b/>
          <w:bCs/>
          <w:sz w:val="20"/>
          <w:szCs w:val="20"/>
        </w:rPr>
      </w:pPr>
      <w:r>
        <w:rPr>
          <w:rFonts w:ascii="Arial" w:hAnsi="Arial"/>
          <w:b/>
          <w:bCs/>
          <w:sz w:val="20"/>
          <w:szCs w:val="20"/>
        </w:rPr>
        <w:t>Auteur :</w:t>
      </w:r>
    </w:p>
    <w:p w14:paraId="5E676D84"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40E15205"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szCs w:val="20"/>
        </w:rPr>
      </w:pPr>
      <w:r>
        <w:rPr>
          <w:rFonts w:ascii="Arial" w:hAnsi="Arial"/>
          <w:sz w:val="20"/>
          <w:szCs w:val="20"/>
        </w:rPr>
        <w:t>PREFA Aluminiumprodukte GmbH</w:t>
      </w:r>
    </w:p>
    <w:p w14:paraId="1F146754"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rPr>
      </w:pPr>
      <w:r>
        <w:rPr>
          <w:rFonts w:ascii="Arial" w:hAnsi="Arial"/>
          <w:sz w:val="20"/>
          <w:szCs w:val="20"/>
        </w:rPr>
        <w:t>3182 Marktl/Lilienfeld</w:t>
      </w:r>
    </w:p>
    <w:p w14:paraId="6CCCCF5D"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083C186D" w14:textId="77777777" w:rsidR="004B50AA" w:rsidRPr="00F924B1"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sz w:val="20"/>
          <w:szCs w:val="20"/>
        </w:rPr>
      </w:pPr>
      <w:r>
        <w:rPr>
          <w:rFonts w:ascii="Arial" w:hAnsi="Arial"/>
          <w:sz w:val="20"/>
          <w:szCs w:val="20"/>
        </w:rPr>
        <w:t>Dernière modification : le 13/07/2017</w:t>
      </w:r>
    </w:p>
    <w:p w14:paraId="0481C7F9"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Les prestations décrites doivent être exécutées en conformité avec les instructions de pose et de montage de PREFA Aluminiumprodukte GmbH, ainsi qu’avec les réglementations, règles professionnelles et normes nationales en vigueur.</w:t>
      </w:r>
    </w:p>
    <w:p w14:paraId="01E13BAE"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38BB39BC"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 cahier des charges ci-après a été établi sur la base des documents suivants :</w:t>
      </w:r>
    </w:p>
    <w:p w14:paraId="01A2ABA2"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589F1129"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69622B48"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76236935"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4788005A"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47825E54"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6F6989FD"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3EDFA812" w14:textId="037B615F" w:rsidR="004B50AA" w:rsidRPr="00F924B1"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Le présent cahier des charges s’appuie sur les plans mis à notre disposition tout en respectant les règles techniques générales actuellement en vigueur. Le soumissionnaire se doit d’examiner la faisabilité de chaque point du cahier des charges. Les quantités indiquées doivent être vérifiées sur le chantier et éventuellement modifiées.</w:t>
      </w:r>
    </w:p>
    <w:p w14:paraId="253F8971" w14:textId="77777777" w:rsidR="004B50AA" w:rsidRPr="00F924B1"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Pour chaque point concerné, les chutes de matériau, les pertes de longueur au niveau des joints, tout comme le petit matériel et le matériel de fixation doivent être intégrés dans les calculs. La facturation s’effectue sur la base des mesures prises sur le site de la construction.</w:t>
      </w:r>
    </w:p>
    <w:p w14:paraId="118871CB" w14:textId="77777777" w:rsidR="004B50AA" w:rsidRPr="00F924B1"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Il est fortement conseillé de visiter le site avant de soumettre toute offre.</w:t>
      </w:r>
    </w:p>
    <w:p w14:paraId="3A8245FF"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Cet appel d’offres ne comprend ni les échafaudages de travail, de façade et de sécurité, ni les éventuelles fermetures de voies de circulation et autorisations officielles, ni les systèmes parafoudre, annexes, balcons et avant-toits. Les études statiques et les prestations touchant à la physique du bâtiment sont à la charge du concepteur.</w:t>
      </w:r>
    </w:p>
    <w:p w14:paraId="32C42BE4"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2AD4A50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La société PREFA Aluminiumprodukte GmbH ne se porte garante ni de l’exhaustivité des informations fournies aux différents points du cahier des charges pour la réalisation des prestations décrites, ni de l’exactitude des dimensions indiquées à chacun de ces points. Le concepteur est tenu de vérifier l’exactitude de toutes les indications et données et, le cas échéant, de les adapter. Ce document est mis à la disposition du concepteur (architecte ou autres) afin de l’aider à élaborer son appel d’offres et doit être considéré comme une simple prestation de conseil.</w:t>
      </w:r>
    </w:p>
    <w:p w14:paraId="3ACB667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826BF2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180A996" w14:textId="78AB992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01.01.1 Couche de séparation (isolation phonique et résistance accrue à la pénétration d’eau)</w:t>
      </w:r>
    </w:p>
    <w:p w14:paraId="6FF6DEF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lé de sous-couverture en bitume polymère avec joints autoadhésifs ; le lé de sous-couverture assure une fonction d’isolation phonique et, lorsque la situation l’exige, de résistance accrue à la pénétration d’eau. Respecter les instructions du fabricant.</w:t>
      </w:r>
    </w:p>
    <w:p w14:paraId="6CD3C2B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2E156A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Produit proposé : ……</w:t>
      </w:r>
    </w:p>
    <w:p w14:paraId="69C6D1E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B6EBD4C"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3260B93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3AD699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EB78E34" w14:textId="2D5DF558"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01.01.2 Couche de séparation (au moins 0,9 mm)</w:t>
      </w:r>
    </w:p>
    <w:p w14:paraId="12D7596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lé de sous-couverture en bitume polymère avec joints autoadhésifs (couche de séparation). Les propriétés de la couche de séparation seront fonction des exigences posées. Respecter les instructions du fabricant.</w:t>
      </w:r>
    </w:p>
    <w:p w14:paraId="6A8C94B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E31E5F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Produit proposé : …………</w:t>
      </w:r>
    </w:p>
    <w:p w14:paraId="4B509C2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E849448"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6F398CD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DDDB3C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D45D93E" w14:textId="15E8B80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01.02.3 Couverture de toit — tuiles PREFA</w:t>
      </w:r>
    </w:p>
    <w:p w14:paraId="4BABE91A" w14:textId="6717FAED" w:rsidR="00C67253" w:rsidRDefault="0076166F"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Livraison et pose d’une couverture de toit en aluminium inoxydable réalisée avec des tuiles PREFA ; comprend le matériel de fixation PREFA (fixation invisible au moyen de pattes brevetées et de clous annelés, 8 par m²) ; pose réalisée sur voligeage intégral existant (épaisseur minimum : 24 mm) ou sur contre-lattage (30/50 mm).</w:t>
      </w:r>
    </w:p>
    <w:p w14:paraId="1D1A7286"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Respecter les directives de pose PREFA.</w:t>
      </w:r>
    </w:p>
    <w:p w14:paraId="1AA83D9F"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4350C66B" w14:textId="77777777" w:rsidR="004B50AA" w:rsidRPr="003C6144" w:rsidRDefault="004B50AA" w:rsidP="00C67253">
      <w:pPr>
        <w:widowControl w:val="0"/>
        <w:autoSpaceDE w:val="0"/>
        <w:autoSpaceDN w:val="0"/>
        <w:adjustRightInd w:val="0"/>
        <w:ind w:right="1870"/>
        <w:rPr>
          <w:rFonts w:ascii="Arial" w:hAnsi="Arial" w:cs="Arial"/>
          <w:sz w:val="20"/>
        </w:rPr>
      </w:pPr>
      <w:r>
        <w:rPr>
          <w:rFonts w:ascii="Arial" w:hAnsi="Arial"/>
          <w:sz w:val="20"/>
          <w:szCs w:val="20"/>
        </w:rPr>
        <w:t>À partir d’une charge de neige normale de 3,25 kN/m² ou pour les catégories de terrain 0, I et II, l’utilisation d’un voligeage intégral avec couche de séparation bitumineuse est obligatoire.</w:t>
      </w:r>
    </w:p>
    <w:p w14:paraId="0CD8BF8E"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72396567" w14:textId="77777777" w:rsidR="004B50AA" w:rsidRPr="00F924B1"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Pente de toit minimum :</w:t>
      </w:r>
    </w:p>
    <w:p w14:paraId="1EF410D0" w14:textId="77777777" w:rsidR="004B50AA" w:rsidRPr="00067ACA"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à partir de 12° (longueur des chevrons inférieure à 7 m)</w:t>
      </w:r>
    </w:p>
    <w:p w14:paraId="1435C0B9" w14:textId="77777777" w:rsidR="004B50AA" w:rsidRPr="00067ACA"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à partir de 14° (longueur des chevrons comprise entre 7 m et 12 m)</w:t>
      </w:r>
    </w:p>
    <w:p w14:paraId="6D2F45C8" w14:textId="77777777"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à partir de 16° (longueur des chevrons supérieure à 12 m)</w:t>
      </w:r>
    </w:p>
    <w:p w14:paraId="4994FBEC" w14:textId="773B5D23"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Dimensions : 600 × 420 mm en surface de couverture (4 par m²)</w:t>
      </w:r>
    </w:p>
    <w:p w14:paraId="739166B8" w14:textId="79ED9841"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2C1EA6D1" w14:textId="77777777"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Poids : 2,3 kg/m²</w:t>
      </w:r>
    </w:p>
    <w:p w14:paraId="2EF27113" w14:textId="77777777"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Matériau : aluminium (entièrement recyclable)</w:t>
      </w:r>
    </w:p>
    <w:p w14:paraId="25E8B4E1" w14:textId="77777777"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Alliage : EN AW-3005 ou EN AW-3105 conformément à la norme EN 573-3</w:t>
      </w:r>
    </w:p>
    <w:p w14:paraId="6B6FE072" w14:textId="77777777"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Face avant : revêtement à chaud P.10</w:t>
      </w:r>
    </w:p>
    <w:p w14:paraId="3E0264E8" w14:textId="77777777"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Couleur : ……</w:t>
      </w:r>
    </w:p>
    <w:p w14:paraId="7CE5FCE8" w14:textId="77777777" w:rsidR="004B50AA" w:rsidRPr="00F924B1"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(couleur standard ; cf. nuancier PREFA)</w:t>
      </w:r>
    </w:p>
    <w:p w14:paraId="1E244E50" w14:textId="77777777" w:rsidR="004B50AA" w:rsidRPr="00F924B1"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face arrière : vernis de protection</w:t>
      </w:r>
    </w:p>
    <w:p w14:paraId="71DD1A9E" w14:textId="77777777" w:rsidR="004B50AA" w:rsidRPr="00F924B1"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Finition : stucco ou lisse</w:t>
      </w:r>
    </w:p>
    <w:p w14:paraId="4A530B25" w14:textId="43B74590" w:rsidR="004B50AA" w:rsidRPr="00F924B1"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Classe de réaction au feu : A1 conformément à la norme EN 13501-1</w:t>
      </w:r>
    </w:p>
    <w:p w14:paraId="6EDF6C12" w14:textId="40011EBB" w:rsidR="004B50AA" w:rsidRPr="00F924B1" w:rsidRDefault="004B50AA" w:rsidP="00C67253">
      <w:pPr>
        <w:autoSpaceDE w:val="0"/>
        <w:autoSpaceDN w:val="0"/>
        <w:adjustRightInd w:val="0"/>
        <w:ind w:right="1870"/>
        <w:rPr>
          <w:rFonts w:cs="Calibri"/>
          <w:color w:val="000000"/>
          <w:sz w:val="20"/>
          <w:szCs w:val="20"/>
        </w:rPr>
      </w:pPr>
      <w:r>
        <w:rPr>
          <w:rFonts w:ascii="Arial" w:hAnsi="Arial"/>
          <w:color w:val="000000"/>
          <w:sz w:val="20"/>
          <w:szCs w:val="20"/>
        </w:rPr>
        <w:t>Performance au feu extérieur : sans réalisation de test conformément à la norme EN 13501-5 et à la décision de la Commission européenne 2000/553/EG</w:t>
      </w:r>
    </w:p>
    <w:p w14:paraId="0C41E262" w14:textId="0463234C" w:rsidR="004B50AA" w:rsidRPr="00F924B1" w:rsidRDefault="004B50AA" w:rsidP="00C67253">
      <w:pPr>
        <w:widowControl w:val="0"/>
        <w:autoSpaceDE w:val="0"/>
        <w:autoSpaceDN w:val="0"/>
        <w:adjustRightInd w:val="0"/>
        <w:ind w:right="1870"/>
        <w:rPr>
          <w:rFonts w:ascii="Arial" w:hAnsi="Arial" w:cs="Arial"/>
          <w:color w:val="000000"/>
          <w:sz w:val="20"/>
          <w:szCs w:val="20"/>
        </w:rPr>
      </w:pPr>
      <w:r>
        <w:rPr>
          <w:rFonts w:ascii="Arial" w:hAnsi="Arial"/>
          <w:color w:val="000000"/>
          <w:sz w:val="20"/>
          <w:szCs w:val="20"/>
        </w:rPr>
        <w:t>Déclaration environnementale de produit selon ISO 14025 et EN 15804 : EPD-GDA-20130260-IBG1-DE</w:t>
      </w:r>
    </w:p>
    <w:p w14:paraId="5696762F" w14:textId="3A14A97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Durée de vie de référence conformément à la déclaration environnementale de produit : ≥ 70 ans</w:t>
      </w:r>
    </w:p>
    <w:p w14:paraId="6540C5D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0F277A4"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70E47A5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836121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D6070B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01.01.4 Bande de départ pour tuiles</w:t>
      </w:r>
    </w:p>
    <w:p w14:paraId="17D1FCF2" w14:textId="674850AB" w:rsidR="004B50AA" w:rsidRPr="003C6144" w:rsidRDefault="006A6B98"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départ PREFA ; avec matériel de fixation et ajustage à la couverture PREFA. Respecter les directives de pose PREFA.</w:t>
      </w:r>
    </w:p>
    <w:p w14:paraId="6DE1942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1FE4809" w14:textId="32C60F31"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1 806 × 150 mm</w:t>
      </w:r>
    </w:p>
    <w:p w14:paraId="131E320D" w14:textId="49F02BB5"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1,2 mm</w:t>
      </w:r>
    </w:p>
    <w:p w14:paraId="0872D9B8"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Matériau : aluminium</w:t>
      </w:r>
    </w:p>
    <w:p w14:paraId="39172CC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91DAC5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268EAC9"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E03D37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3D39F9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89F5D1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01.01.5 Solin de finition (standard)</w:t>
      </w:r>
    </w:p>
    <w:p w14:paraId="14C4373F" w14:textId="77777777" w:rsidR="004B50AA" w:rsidRPr="006F382B"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solins de finition PREFA avec double pliure réalisée en usine ; matériel de fixation compris ; pliure trapézoïdale alignée sur la pente de la gouttière.</w:t>
      </w:r>
    </w:p>
    <w:p w14:paraId="46881C5E" w14:textId="77777777" w:rsidR="004B50AA" w:rsidRPr="006F382B"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lang w:val="x-none" w:eastAsia="x-none"/>
        </w:rPr>
      </w:pPr>
    </w:p>
    <w:p w14:paraId="6EB509A1" w14:textId="4EC6B4F2"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230 × 2 000 mm</w:t>
      </w:r>
    </w:p>
    <w:p w14:paraId="323F4A45" w14:textId="7E689150"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4110F862"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aluminium</w:t>
      </w:r>
    </w:p>
    <w:p w14:paraId="43158DBC"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Alliage : AlMn1Mg0,5</w:t>
      </w:r>
    </w:p>
    <w:p w14:paraId="2CEB3FBD"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Finition : revêtement à chaud bicouche</w:t>
      </w:r>
    </w:p>
    <w:p w14:paraId="57F8F25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476457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85450E8"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5B0AA3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57F33A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BEDA3E6" w14:textId="5B66A8C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01.01.6 Solin de finition réalisé à partir de bandes complémentaires Prefalz</w:t>
      </w:r>
    </w:p>
    <w:p w14:paraId="26B58FA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solins de finition réalisés à partir de bandes complémentaires Prefalz ; matériel de fixation compris ; pliure trapézoïdale alignée sur la pente de la gouttière.</w:t>
      </w:r>
    </w:p>
    <w:p w14:paraId="1E552FD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5185492" w14:textId="4989B3C4"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5171313E" w14:textId="3FE562AC"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7E7AE6F2"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4BFAC06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DB5392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C5EEE1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0E14060"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C6F700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A2A800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B7DAC0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01.01.7 Grille anti-insectes pour entrée et sortie d’air</w:t>
      </w:r>
    </w:p>
    <w:p w14:paraId="2F3DB0E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d’une grille anti-insectes avec perforations circulaires ; pour entrée et sortie d’air ; protection de la lame d’air contre les insectes et les oiseaux. Matériel de fixation compris.</w:t>
      </w:r>
    </w:p>
    <w:p w14:paraId="6CB893BD"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0008A33D" w14:textId="2FCF66CD"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125 mm</w:t>
      </w:r>
    </w:p>
    <w:p w14:paraId="666B0C16"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selon les besoins</w:t>
      </w:r>
    </w:p>
    <w:p w14:paraId="33BB9949" w14:textId="093D6DDB"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3EF45F36" w14:textId="0DF6BF23"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3FF55E5A"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Matériau : aluminium</w:t>
      </w:r>
    </w:p>
    <w:p w14:paraId="43318454" w14:textId="3FF8CB4E"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 xml:space="preserve">Perforations circulaires : </w:t>
      </w:r>
      <w:r>
        <w:rPr>
          <w:rFonts w:ascii="Menlo Regular" w:hAnsi="Menlo Regular"/>
          <w:sz w:val="20"/>
          <w:szCs w:val="20"/>
        </w:rPr>
        <w:t>⌀</w:t>
      </w:r>
      <w:r>
        <w:rPr>
          <w:rFonts w:ascii="Arial" w:hAnsi="Arial"/>
          <w:sz w:val="20"/>
          <w:szCs w:val="20"/>
        </w:rPr>
        <w:t xml:space="preserve"> 5 mm</w:t>
      </w:r>
    </w:p>
    <w:p w14:paraId="5DAE57F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4727E1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75B475D"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3CD97E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14A0A1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07291B0" w14:textId="3354FE3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lastRenderedPageBreak/>
        <w:t>01.01.8 Ligne de bris (combles mansardés)</w:t>
      </w:r>
    </w:p>
    <w:p w14:paraId="564BEBA5"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Mise en œuvre d’une ligne de bris pour comble mansardé ; comprend la pièce d’aluminium pliée et la bande de départ, ainsi que l’ajustage à la couverture de toit PREFA.</w:t>
      </w:r>
    </w:p>
    <w:p w14:paraId="399C098F"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32278D0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Ligne de bris avec transition de …° à …°</w:t>
      </w:r>
    </w:p>
    <w:p w14:paraId="325992A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15C7726"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353BC2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E660BB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BDC6CBC" w14:textId="7CA726E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01.01.9 Ligne de bris</w:t>
      </w:r>
    </w:p>
    <w:p w14:paraId="42442883"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Mise en œuvre d’une ligne de bris avec bande de recouvrement réalisée à partir de bandes complémentaires Prefalz ; comprend le matériel de fixation ainsi que l’ajustage à la couverture PREFA.</w:t>
      </w:r>
    </w:p>
    <w:p w14:paraId="4BD2F69E"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774BDAB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Ligne de bris avec transition de …° à …°</w:t>
      </w:r>
    </w:p>
    <w:p w14:paraId="3413B8F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3AAAA39"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551412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93D0CC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1FC3C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01.01.10 Noue de sécurité (réalisée en usine)</w:t>
      </w:r>
    </w:p>
    <w:p w14:paraId="4BA747F8" w14:textId="40D90392"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noues de sécurité mises en œuvre avec un joint supplémentaire ; avec matériel de fixation et ajustage de tous les raccordements à la couverture PREFA (sur les deux côtés). Les éléments (max. 3 000 mm) doivent être assemblés de manière à permettre une dilatation suffisante.</w:t>
      </w:r>
    </w:p>
    <w:p w14:paraId="6B80CD4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7503B57" w14:textId="64B0CBD1"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708 mm</w:t>
      </w:r>
    </w:p>
    <w:p w14:paraId="6C015FEE" w14:textId="57A5A4B1"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8 pc.</w:t>
      </w:r>
    </w:p>
    <w:p w14:paraId="0BCA19D0"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634CE6D9"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8410C1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278BDF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D1CAC1C"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0037FE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14F3AB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78CE20B" w14:textId="3EFA055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01.01.11 Mise en œuvre d’une noue réalisée à partir de bandes complémentaires Prefalz</w:t>
      </w:r>
    </w:p>
    <w:p w14:paraId="42C865D6" w14:textId="1D580838"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tôles de noue réalisées à partir de bandes complémentaires Prefalz ; avec matériel de fixation et ajustage de tous les raccordements à la couverture PREFA (sur les deux côtés). Les éléments (max. 3 000 mm) doivent être assemblés de manière à permettre une dilatation suffisante.</w:t>
      </w:r>
    </w:p>
    <w:p w14:paraId="1CF7922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0AF43C6" w14:textId="1EF9640C"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3EC8000F" w14:textId="4A2BDEF2"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19B72654"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2246270E"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85502F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05F0D5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98F1C78"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243F00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35CEF0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F49A964" w14:textId="79C3D69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01.01.12 Mise en œuvre d’une noue encaissée réalisée à partir de bandes complémentaires Prefalz</w:t>
      </w:r>
    </w:p>
    <w:p w14:paraId="77F44BB9" w14:textId="7ACF3E02"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d’une noue encaissée (chéneau) mise en œuvre à partir de bandes complémentaires Prefalz ; noue posée sur la sous-construction surbaissée. Inclut le matériel de fixation et l’ajustage de tous les raccordements à la couverture PREFA (sur les deux côtés), ainsi que la pose d’un lé de sous-couverture offrant une protection supplémentaire contre les accumulations et retenues d’eau. Les éléments (max. 3 000 mm) doivent être assemblés de manière à permettre une dilatation suffisante.</w:t>
      </w:r>
    </w:p>
    <w:p w14:paraId="7209F5B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3242A8D" w14:textId="20C123F2" w:rsidR="004B50AA"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1D811833" w14:textId="07087BE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5 pc.</w:t>
      </w:r>
    </w:p>
    <w:p w14:paraId="7C8A201D"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59FEE33B"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260417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1BBABA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7B4D518"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F5FF91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FE405D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9C07672" w14:textId="12A05098"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01.01.13 Mise en œuvre d’une noue (noues arrondies)</w:t>
      </w:r>
    </w:p>
    <w:p w14:paraId="678CEAD9" w14:textId="7EF57168"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d’une noue arrondie en écailles mise en œuvre à partir de bandes complémentaires Prefalz (pour lucarnes arrondies). Les éléments (max. 3 000 mm) doivent être assemblés de manière à permettre une dilatation suffisante. Inclut le matériel de fixation ainsi que l’ajustage de tous les raccordements à la couverture PREFA (sur les deux côtés).</w:t>
      </w:r>
    </w:p>
    <w:p w14:paraId="241A755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614D477" w14:textId="0D834BAB"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Largeur de la lucarne : … mm</w:t>
      </w:r>
    </w:p>
    <w:p w14:paraId="082799BF" w14:textId="279D4BD8"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Flèche : … mm</w:t>
      </w:r>
    </w:p>
    <w:p w14:paraId="7241F6EC"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principale du toit : …°</w:t>
      </w:r>
    </w:p>
    <w:p w14:paraId="67AAA0F6"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17EDE67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CB0438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11C082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B72C101"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C62F33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B1A6DF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FFA3BEE" w14:textId="64E7CDE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01.01.14 Raccordement de couloir réalisé à partir de bandes complémentaires Prefalz</w:t>
      </w:r>
    </w:p>
    <w:p w14:paraId="1DD9FC12" w14:textId="07A8091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tôles de noue réalisées à partir de bandes complémentaires Prefalz (pour raccordement de couloir latéral) ; avec matériel de fixation et ajustage de tous les raccordements à la couverture PREFA. Les éléments (max. 3 000 mm) doivent être assemblés de manière à permettre une dilatation suffisante.</w:t>
      </w:r>
    </w:p>
    <w:p w14:paraId="4EA7F38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C35D28A" w14:textId="3D35DCCD"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57DACBD4" w14:textId="0E319B39"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7FCA59BB"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10E15359"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F472CE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892CD9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2E63017"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3CF9D1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ECAB18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1089181" w14:textId="69341BC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01.01.15 Couloir réalisé à partir de bandes complémentaires Prefalz</w:t>
      </w:r>
    </w:p>
    <w:p w14:paraId="70C2F49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couloirs réalisés à partir de bandes complémentaires Prefalz, avec renvoi d’eau (joint debout) de chaque côté du couloir ; avec matériel de fixation et ajustage de tous les raccordements à la couverture PREFA.</w:t>
      </w:r>
    </w:p>
    <w:p w14:paraId="022DAF3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DA724D9" w14:textId="69CCE388"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Dimensions : … × … mm</w:t>
      </w:r>
    </w:p>
    <w:p w14:paraId="003D7334"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50793841"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56FEF7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242153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C341A1E"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75DAF3D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BCA9F5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74F5A51" w14:textId="1301A29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01.01.16 Bavette réalisée à partir de bandes complémentaires Prefalz</w:t>
      </w:r>
    </w:p>
    <w:p w14:paraId="1A48B88F" w14:textId="2E29239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bavettes mises en œuvre à partir de bandes complémentaires Prefalz et destinées à réaliser les raccordements aux éléments constructifs de la toiture côté faîtage ; avec matériel de fixation et ajustage à la couverture PREFA. Les éléments (max. 3 000 mm) doivent être assemblés de manière à permettre une dilatation suffisante.</w:t>
      </w:r>
    </w:p>
    <w:p w14:paraId="72DD055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422A7B5" w14:textId="6CAB477E"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6088A125" w14:textId="008F6AB3"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749AF2D6"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7762F93E"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B00C95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83803C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7F539C9"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5B6CE1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10CAB1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E0B377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01.01.17 Faîtière ventilée (autoportante)</w:t>
      </w:r>
    </w:p>
    <w:p w14:paraId="0F5BA1FB" w14:textId="6D9A610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faîtières ventilées PREFA (faîtières autoportantes et demi-rondes) pour la ventilation des lames d’air ; inclut le matériel de fixation (vis en acier inoxydable 4,5/60 mm, avec rondelle d’étanchéité) et l’ajustage à la couverture PREFA. Respecter les directives de pose PREFA.</w:t>
      </w:r>
    </w:p>
    <w:p w14:paraId="4961D44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91892AF" w14:textId="20B506B5" w:rsidR="004B50AA" w:rsidRPr="00F924B1" w:rsidRDefault="00C87265"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des éléments : 3 000/1 200 mm</w:t>
      </w:r>
    </w:p>
    <w:p w14:paraId="4EC031F1"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Section d’aération : 250 cm²/m</w:t>
      </w:r>
    </w:p>
    <w:p w14:paraId="3E48D9BF" w14:textId="1AA06EBB"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0BD63D25"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4F4763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1687B5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050A481"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0C3B1E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E8D620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0F6A8D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01.01.18 About de faîtière ventilée</w:t>
      </w:r>
    </w:p>
    <w:p w14:paraId="01B83B7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d’abouts de faîtière ventilée, demi-rondes, coupés droit ; avec matériel de fixation et ajustage à la faîtière ventilée. Respecter les directives de pose PREFA.</w:t>
      </w:r>
    </w:p>
    <w:p w14:paraId="13CD10C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D097B03" w14:textId="6F08C6A2"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1,00 mm</w:t>
      </w:r>
    </w:p>
    <w:p w14:paraId="2FC0EEF8"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79C618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55581A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C5BE42C"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0C4D332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8B0C18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FFD27C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01.01.19 Mise en œuvre de faîtières et arêtiers (non ventilés)</w:t>
      </w:r>
    </w:p>
    <w:p w14:paraId="2DEB6E3C" w14:textId="612F978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faîtières et arêtiers PREFA (demi-ronds, avec moulure) sur chevron existant ; inclut le matériel de fixation (vis en acier inoxydable 4,5/45 mm, avec rondelle d’étanchéité), l’ajustage de la couverture PREFA à la panne faîtière ou au chevron d’arêtier (sur les deux côtés), ainsi que la découpe des ondes des tuiles. Respecter les directives de pose PREFA.</w:t>
      </w:r>
    </w:p>
    <w:p w14:paraId="3BF0BA2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D225984" w14:textId="77A7B26B"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500 mm</w:t>
      </w:r>
    </w:p>
    <w:p w14:paraId="49D0CD48" w14:textId="52F5726D"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6A602310"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52E09D6"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23C153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607650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4BAB8C5"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A4F3C8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CD0D9A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33AF61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01.01.20 About de faîtière et d’arêtier (quart de sphère)</w:t>
      </w:r>
    </w:p>
    <w:p w14:paraId="17FFDE6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d’abouts de faîtière et d’arêtier PREFA (quart de sphère), avec matériel de fixation et ajustage à l’arêtier. Respecter les directives de pose PREFA.</w:t>
      </w:r>
    </w:p>
    <w:p w14:paraId="4E0497B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13C65ED" w14:textId="2E83FB84"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1,50 mm</w:t>
      </w:r>
    </w:p>
    <w:p w14:paraId="251EFBE8"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0B2BFB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471671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D8C72CA"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301C60E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BBEA6F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C17D673" w14:textId="629A8F1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01.01.21 Mise en œuvre de faîtières et arêtiers réalisés à partir de bandes complémentaires Prefalz</w:t>
      </w:r>
    </w:p>
    <w:p w14:paraId="698AE49F" w14:textId="543C7B35"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tôles de faîtière et d’arêtier réalisées à partir de bandes complémentaires Prefalz ; pose sur chevron existant ; avec matériel de fixation et ajustage de tous les raccordements à la couverture PREFA (sur les deux côtés). Les éléments (max. 3 000 mm) doivent être assemblés de manière à permettre une dilatation suffisante.</w:t>
      </w:r>
    </w:p>
    <w:p w14:paraId="1071A8D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367FED9"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77A8BF7E"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FC73DEF" w14:textId="3F62B07D"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399FC8B9" w14:textId="13C3D4D3"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 mm</w:t>
      </w:r>
    </w:p>
    <w:p w14:paraId="41E44550" w14:textId="407AF4AC"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Pliure : … pc.</w:t>
      </w:r>
    </w:p>
    <w:p w14:paraId="6D43DB5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F417051"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C7EAEC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30358C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272113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01.01.22 Tuile PREFA avec chapeau de raccordement pour chatière (raccordement d’aération)</w:t>
      </w:r>
    </w:p>
    <w:p w14:paraId="2D0BC1B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tuiles PREFA équipées de chapeaux de raccordement pour chatière afin de permettre la ventilation de la lame d’air (entrée et sortie d’air) ; avec perforation et partie supérieure fabriquée par emboutissage ; avec découpe des ouvertures dans la couverture et dans le voligeage.</w:t>
      </w:r>
    </w:p>
    <w:p w14:paraId="3713C66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CAE277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Section d’aération : env. 30 cm²</w:t>
      </w:r>
    </w:p>
    <w:p w14:paraId="102DE5B7" w14:textId="5485ABAC"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300 × 420 mm</w:t>
      </w:r>
    </w:p>
    <w:p w14:paraId="4BD26842"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61F69074"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B10A23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82CA77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4209D7A"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32461BB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6A2703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0B77F96" w14:textId="06FADFA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01.01.23 Raccord de faîtage de toit monopente réalisé à partir de bandes complémentaires Prefalz</w:t>
      </w:r>
    </w:p>
    <w:p w14:paraId="7AA691A1" w14:textId="44B06DCB"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raccords de faîtage de toit monopente réalisés à partir de bandes complémentaires Prefalz ; comprend le matériel de fixation, la bande d’accrochage, la bande d’aluminium perforée et l’ajustage à la couverture PREFA. Les éléments (max. 3 000 mm) doivent être assemblés de manière à permettre une dilatation suffisante.</w:t>
      </w:r>
    </w:p>
    <w:p w14:paraId="632DBC2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C982F4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Profil de recouvrement :</w:t>
      </w:r>
    </w:p>
    <w:p w14:paraId="255BCF4E" w14:textId="076A5BA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4E2CA280" w14:textId="256E12DC"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2162E710"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6A470D2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42CF8D4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F6C5C13"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B1518F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36BDAA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BB01C8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01.01.24 Bande de rive (réalisée en usine)</w:t>
      </w:r>
    </w:p>
    <w:p w14:paraId="2E44059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rive PREFA avec bandes d’accrochage ; avec matériel de fixation et ajustage à la couverture PREFA. Les éléments doivent être assemblés de manière à permettre une dilatation suffisante. Respecter les directives de pose PREFA.</w:t>
      </w:r>
    </w:p>
    <w:p w14:paraId="02967C4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22B234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de rive :</w:t>
      </w:r>
    </w:p>
    <w:p w14:paraId="2BF67448" w14:textId="6A255041"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Dimensions de coupe : 2 000 × 95 mm</w:t>
      </w:r>
    </w:p>
    <w:p w14:paraId="28D7ABD3" w14:textId="5BD321CA"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4 pc.</w:t>
      </w:r>
    </w:p>
    <w:p w14:paraId="74E783EF" w14:textId="6A34C39B"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0,70 mm</w:t>
      </w:r>
    </w:p>
    <w:p w14:paraId="70BD503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9BA8F6B"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d’accrochage :</w:t>
      </w:r>
    </w:p>
    <w:p w14:paraId="751CBC15" w14:textId="199A663B"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Dimensions de coupe : 2 000 × 70 mm</w:t>
      </w:r>
    </w:p>
    <w:p w14:paraId="6A686504" w14:textId="76B2516E"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2 pc.</w:t>
      </w:r>
    </w:p>
    <w:p w14:paraId="41F8402A" w14:textId="78D49D5E"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1,0 mm</w:t>
      </w:r>
    </w:p>
    <w:p w14:paraId="6BC272C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DBB4A17"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516149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B1FF21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3964587"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6F60D3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8666B5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C300F4B" w14:textId="46525AC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01.01.25 Bande de rive réalisée à partir de bandes complémentaires Prefalz</w:t>
      </w:r>
    </w:p>
    <w:p w14:paraId="4AC7764E" w14:textId="1E40D34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rive réalisées à partir de bandes complémentaires Prefalz ; avec matériel de fixation et ajustage à la couverture PREFA. Les éléments (max. 3 000 mm) doivent être assemblés de manière à permettre une dilatation suffisante.</w:t>
      </w:r>
    </w:p>
    <w:p w14:paraId="611261C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93F0304"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de rive :</w:t>
      </w:r>
    </w:p>
    <w:p w14:paraId="21636880" w14:textId="174A856D"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7DACCB3E" w14:textId="192B6299"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68FDF412" w14:textId="4BF6047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0,70 mm</w:t>
      </w:r>
    </w:p>
    <w:p w14:paraId="71893BC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8C6B741"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d’accrochage :</w:t>
      </w:r>
    </w:p>
    <w:p w14:paraId="3A710591" w14:textId="41A8B99A"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1CEF540F" w14:textId="2AB2103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247888C3" w14:textId="72CA5B4C"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au moins 1,0 mm</w:t>
      </w:r>
    </w:p>
    <w:p w14:paraId="3F2354F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98057E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BBA467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42EFB0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9604E25"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EA2DA2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897D58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3E82B5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01.01.26 Raccordement de ventilation pour tuiles</w:t>
      </w:r>
    </w:p>
    <w:p w14:paraId="6CD4378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raccordements de ventilation PREFA pour les pénétrations de tuyaux ; inclut la découpe de l’ouverture dans le voligeage et la mise en œuvre dans la couverture PREFA. Respecter les directives de pose PREFA.</w:t>
      </w:r>
    </w:p>
    <w:p w14:paraId="2463C88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30FE431" w14:textId="7DF84531"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Pénétrations de tuyaux : diamètre compris entre 80 et 125 mm</w:t>
      </w:r>
    </w:p>
    <w:p w14:paraId="33B1F1C9"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de toit : entre 12° et 52°</w:t>
      </w:r>
    </w:p>
    <w:p w14:paraId="4C957885"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1D3D719E"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93C721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EF0F4C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CEC5B9F"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283EC6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A111F2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DE619E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01.01.27 Raccordement universel (deux éléments)</w:t>
      </w:r>
    </w:p>
    <w:p w14:paraId="6F7C85D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raccordements universels composés de deux éléments (par exemple pour les raccordements d’antenne de télévision) ; avec mise en œuvre dans la couverture PREFA. Respecter les directives de pose PREFA.</w:t>
      </w:r>
    </w:p>
    <w:p w14:paraId="17284C0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FFA3D66" w14:textId="228B921E"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Pénétrations de tuyaux : diamètre compris entre 40 et 120 mm</w:t>
      </w:r>
    </w:p>
    <w:p w14:paraId="3E12787A"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de toit : entre 12° et 52°</w:t>
      </w:r>
    </w:p>
    <w:p w14:paraId="65A4B510" w14:textId="1902FF92"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7AC3115B"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87DDB8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F5A98A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1A073F3"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38D0D3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540CBF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1DD025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01.01.28 Tuyau de ventilation</w:t>
      </w:r>
    </w:p>
    <w:p w14:paraId="56B0A8D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tuyaux de ventilation PREFA (fournis avec capuchon) ; comprend l’installation dans le raccordement de ventilation ainsi que l’étanchéification de la rosette. Respecter les directives de pose PREFA.</w:t>
      </w:r>
    </w:p>
    <w:p w14:paraId="524B028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2AC9929" w14:textId="36B24D2E"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Hauteur totale : 380 mm</w:t>
      </w:r>
    </w:p>
    <w:p w14:paraId="527C8280" w14:textId="747BE08A"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Diamètre : 100 mm, 120 mm</w:t>
      </w:r>
    </w:p>
    <w:p w14:paraId="0DA742B8" w14:textId="7F9ECD0E"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64B734A1"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36AEFA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878105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116AD92"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E0D921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9A9F38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7EFD84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01.01.29 Soufflet plissé</w:t>
      </w:r>
    </w:p>
    <w:p w14:paraId="374A21D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soufflets plissés en EPDM à élasticité permanente pour l’assemblage de passages dans la sous-couverture. Respecter les directives de pose PREFA.</w:t>
      </w:r>
    </w:p>
    <w:p w14:paraId="3202335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97772F6" w14:textId="10AE1A1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Diamètre : entre 100 et 130 mm</w:t>
      </w:r>
    </w:p>
    <w:p w14:paraId="1681F44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2840D86"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F07921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07C4FF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C14F893" w14:textId="64A8912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01.01.30 Abergement de cheminée et de conduit de ventilation</w:t>
      </w:r>
    </w:p>
    <w:p w14:paraId="1B90CF36" w14:textId="4EE7DF45"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d’abergements de conduits de cheminée et de conduits de ventilation réalisés à partir de bandes complémentaires Prefalz ; comprend l’abergement haut, l’abergement bas et les abergements latéraux (tôle relevée sur une hauteur d’environ 200 mm) ; avec installation et assemblage aux agrafures longitudinales et transversales. Pour les pénétrations dont la largeur est supérieure à 1,0 m, prévoir la mise en œuvre d’un coyau au niveau de l’abergement haut.</w:t>
      </w:r>
    </w:p>
    <w:p w14:paraId="1D69F9C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59EF7E5" w14:textId="67C39B96"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3E98C80F" w14:textId="3CEEFF9A"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063FC650"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7A79CE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43AA8A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964CFA1"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5B7E3FD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563C13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EF952D2" w14:textId="09F73140"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01.01.31 Abergement de cheminée et de conduit de ventilation</w:t>
      </w:r>
    </w:p>
    <w:p w14:paraId="2DEB2053" w14:textId="57943D9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d’abergements de conduits de cheminée et de conduits de ventilation réalisés à partir de bandes complémentaires Prefalz ; comprend l’abergement haut, l’abergement bas et les abergements latéraux (tôle relevée sur une hauteur d’environ 200 mm) ; avec installation et assemblage aux agrafures longitudinales et transversales. Pour les pénétrations dont la largeur est supérieure à 1,0 m, prévoir la mise en œuvre d’un coyau au niveau de l’abergement haut.</w:t>
      </w:r>
    </w:p>
    <w:p w14:paraId="3043E86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83829A9" w14:textId="6F2F9C64"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5DA31B99"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566A94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E79DE5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452A01F"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0D57EC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96E91D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1DE637D" w14:textId="25180E5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01.01.32 Habillage de cheminée et de conduit de ventilation</w:t>
      </w:r>
    </w:p>
    <w:p w14:paraId="3B9B7F9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d’habillages de cheminée et de conduits de ventilation ; habillages réalisés à partir de bandes complémentaires Prefalz. Fabrication des habillages (mise en œuvre par pliage) sur la base des mesures prises sur site (mesure prise jusqu’à la base de l’embranchement)</w:t>
      </w:r>
    </w:p>
    <w:p w14:paraId="577A7AC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0C5039B" w14:textId="6EF9E0EA"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 … mm</w:t>
      </w:r>
    </w:p>
    <w:p w14:paraId="71280694" w14:textId="57F8B51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27916197"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F59A13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C8AA02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D2E1A6E"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CB8E55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C42624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9C09EA0" w14:textId="48B140F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01.01.33 Habillage de cheminée et de conduit de ventilation</w:t>
      </w:r>
    </w:p>
    <w:p w14:paraId="0D92246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d’habillages de cheminée et de conduits de ventilation ; habillages réalisés à partir de bandes complémentaires Prefalz. Fabrication des habillages (mise en œuvre par pliage) sur la base des mesures prises sur site (mesure prise jusqu’à la base de l’embranchement)</w:t>
      </w:r>
    </w:p>
    <w:p w14:paraId="3A8AAFA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5814A4B" w14:textId="15184C63"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7C0C1B06"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775B81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A23BDB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83114D4"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1DF8E7A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0DBB4F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7B9D2D4" w14:textId="71D233C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01.01.34 Chapeau de cheminée</w:t>
      </w:r>
    </w:p>
    <w:p w14:paraId="6ED9CEE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chapeaux de cheminée réalisés à partir de bandes complémentaires Prefalz ; comprend la découpe, le sertissage et l’étanchéification des ouvertures.</w:t>
      </w:r>
    </w:p>
    <w:p w14:paraId="34E457F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70FF1A8" w14:textId="3FA12658"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79B679B8" w14:textId="16DFD0A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686870D1"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9BCEE33"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00AE01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C428ED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06FB850"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8FE8A7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813A47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498646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01.01.35 Chapeau de cheminée</w:t>
      </w:r>
    </w:p>
    <w:p w14:paraId="554FDB9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chapeaux de cheminée PREFA , fournis avec les pieds et les vis en acier inoxydable.</w:t>
      </w:r>
    </w:p>
    <w:p w14:paraId="73A72CF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F748054" w14:textId="76DD9A62"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2 mm</w:t>
      </w:r>
    </w:p>
    <w:p w14:paraId="636C01BC"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alliage d’aluminium, revêtement thermolaqué</w:t>
      </w:r>
    </w:p>
    <w:p w14:paraId="418B86C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20BF49D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5801E4F" w14:textId="61E78FFB"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7F17A3CC" w14:textId="05313DB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700 × 700 mm, 800 × 800 mm, 1 000 × 700 mm, 1 100 × 800 mm, 1 500 × 800 mm</w:t>
      </w:r>
    </w:p>
    <w:p w14:paraId="48F3C6E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B22D7F3"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2C3500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9E30D9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8C3D68" w14:textId="7D2CD1E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01.01.36 Bande de solin fixée par joint mastic (solin)</w:t>
      </w:r>
    </w:p>
    <w:p w14:paraId="1B90EF06" w14:textId="601BFDE8" w:rsidR="004B50AA" w:rsidRPr="003C6144" w:rsidRDefault="009D35F9"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solin fixées par joint mastic (solins) et réalisées à partir de bandes complémentaires Prefalz ; inclut le matériel de fixation (fixation au moyen de chevilles si nécessaire), l’étanchéification au moyen d’un mastic d’étanchéité à élasticité permanente, ainsi que la pose d’équerres de fixation dans le cas d’une isolation thermique extérieure (ITE). Les éléments (max. 3 000 mm) doivent être assemblés de manière à permettre une dilatation suffisante.</w:t>
      </w:r>
    </w:p>
    <w:p w14:paraId="222E839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D7AD320" w14:textId="16C74BE9"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1C027753" w14:textId="7D93A3D4"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5 pc.</w:t>
      </w:r>
    </w:p>
    <w:p w14:paraId="25A87901" w14:textId="09C13C5F"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4B36EAA3"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4D44FCD"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006241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6A4790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EC3CB20"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8544C7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507244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E07EC4B" w14:textId="366EF32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01.01.37 Bande de solin fixée par enduit de parement</w:t>
      </w:r>
    </w:p>
    <w:p w14:paraId="4100E90A" w14:textId="0D17B1C6" w:rsidR="004B50AA" w:rsidRPr="003C6144"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rPr>
      </w:pPr>
      <w:r>
        <w:rPr>
          <w:rFonts w:ascii="Arial" w:hAnsi="Arial"/>
          <w:sz w:val="20"/>
          <w:szCs w:val="20"/>
        </w:rPr>
        <w:t>Livraison et pose de bandes de solins fixées par enduit de parement (bandes de solin réalisées à partir de bandes complémentaires Prefalz) ; matériel de fixation compris (fixation au moyen de chevilles si nécessaire). Les éléments (max. 3 000 mm) doivent être assemblés de manière à permettre une dilatation suffisante.</w:t>
      </w:r>
    </w:p>
    <w:p w14:paraId="5AF8FEC5" w14:textId="77777777" w:rsidR="004B50AA" w:rsidRPr="003C6144"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lang w:val="x-none" w:eastAsia="x-none"/>
        </w:rPr>
      </w:pPr>
    </w:p>
    <w:p w14:paraId="1D52B91D" w14:textId="3F2E9E2E" w:rsidR="004B50AA" w:rsidRPr="00F924B1"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Dimension de coupe : … mm</w:t>
      </w:r>
    </w:p>
    <w:p w14:paraId="09945672" w14:textId="56CFCB88" w:rsidR="004B50AA" w:rsidRPr="00F924B1"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Pliure : 5 pc.</w:t>
      </w:r>
    </w:p>
    <w:p w14:paraId="1AC4FCC7" w14:textId="44FEE6B5" w:rsidR="004B50AA" w:rsidRPr="00F924B1"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12221BF6" w14:textId="77777777" w:rsidR="004B50AA" w:rsidRPr="00F924B1"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19772A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A1632A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0A31805"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BDD7DB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B2C9FB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9F8C95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01.01.38 Tabatière</w:t>
      </w:r>
    </w:p>
    <w:p w14:paraId="1851B500" w14:textId="5FF10879"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tabatières PREFA pour combles et combles non chauffés ; fournies avec raccordement, châssis en bois, barre de réglage d’ouverture (avec clavette) ainsi que double vitrage en PVC translucide de 6 mm et joint d’étanchéité. Comprend l’ajustage à la couverture PREFA, la découpe de l’ouverture dans le voligeage intégral, ainsi que la fixation du châssis en bois. Respecter les directives de pose PREFA.</w:t>
      </w:r>
    </w:p>
    <w:p w14:paraId="11998E0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4AEA71E4" w14:textId="4F12238F"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Dimensions : 600 × 600 mm (dimension intérieure)</w:t>
      </w:r>
    </w:p>
    <w:p w14:paraId="1F201F6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E60A72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CF85D20"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F19810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0787CD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959B85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01.01.39 Raccordement pour fenêtres de toit Velux</w:t>
      </w:r>
    </w:p>
    <w:p w14:paraId="3201CDF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raccordement PREFA pour fenêtres de toit Velux ; avec ajustage à la couverture PREFA. Respecter les directives de pose PREFA.</w:t>
      </w:r>
    </w:p>
    <w:p w14:paraId="0A46D62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A920E60"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Fenêtre : avec cadre d’isolation thermique</w:t>
      </w:r>
    </w:p>
    <w:p w14:paraId="303E56E9"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29900E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22C4C37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18A5C87"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w:t>
      </w:r>
    </w:p>
    <w:p w14:paraId="640C93C3"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C02 55 × 78, C04 55 × 98, C06 55 × 118, F04 66 × 98, F06 66 × 118, F068 66 × 140, M04 78 × 98, M06 78 × 118, M08 78 × 140, M10 78 × 160, M12 78 × 180, P04 94 × 98, P06 94 × 118, P08 94 × 140, P.10 94 × 160, S06 114 × 118, S08 114 × 140, S10 114 × 160, U04 134 × 98, U08 134 × 140, U10 134 × 160</w:t>
      </w:r>
    </w:p>
    <w:p w14:paraId="518D8F4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EBDB4A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EC7AD01"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D44C66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27BF20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800A82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01.01.40 Raccordement pour fenêtres de toit Roto</w:t>
      </w:r>
    </w:p>
    <w:p w14:paraId="6C3F76D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raccordement PREFA pour fenêtres de toit Roto ; avec ajustage à la couverture PREFA. Respecter les directives de pose PREFA.</w:t>
      </w:r>
    </w:p>
    <w:p w14:paraId="59C0244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B3C748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Fenêtre : avec cadre d’isolation thermique</w:t>
      </w:r>
    </w:p>
    <w:p w14:paraId="195077B4"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F0D017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70FF151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4D8F6CA"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w:t>
      </w:r>
    </w:p>
    <w:p w14:paraId="1280585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54 × 78, 54 × 98, 54 × 118, 65 × 98, 65 × 118, 65 × 140, 74 × 78, 74 × 98, 74 × 118, 74 × 140, 74 × 160, 94 × 78, 94 × 98, 94 × 118, 94 × 140, 94 × 160, 114 × 78, 114 × 98, 114 × 118, 114 × 140, 114 × 160, 134 × 78, 134 × 98, 134 × 140</w:t>
      </w:r>
    </w:p>
    <w:p w14:paraId="60CA850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45D716C"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FD511F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C1E8FB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B7B28C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01.01.41 Raccordement pour fenêtres de toit Roto Q</w:t>
      </w:r>
    </w:p>
    <w:p w14:paraId="4ED946D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raccordement PREFA pour fenêtres de toit Roto Q ; avec ajustage à la couverture PREFA.</w:t>
      </w:r>
    </w:p>
    <w:p w14:paraId="007EB3E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7C8F8BE"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Fenêtre : avec/sans cadre d’isolation thermique</w:t>
      </w:r>
    </w:p>
    <w:p w14:paraId="13FB579C"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C5CBEB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7D0C8BA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555F405"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w:t>
      </w:r>
    </w:p>
    <w:p w14:paraId="2D7F598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Q55 × 78, Q78 × 98, Q78 × 118, Q94 × 140, Q114 × 118, Q134 × 160</w:t>
      </w:r>
    </w:p>
    <w:p w14:paraId="099A779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5EADD1C"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E313B5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1BD321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238A2BC" w14:textId="0971335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01.01.42 Habillage de façade</w:t>
      </w:r>
    </w:p>
    <w:p w14:paraId="41C7C71C" w14:textId="702096D1"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d’habillages de façade (pour les parties avant des bâtiments, les pignons et les lucarnes) ; comprend l’ajustage à la couverture PREFA ainsi que l’ensemble des solins et raccordements ; pour les tuiles PREFA ou les bandes complémentaires Prefalz (joints angulaires).</w:t>
      </w:r>
    </w:p>
    <w:p w14:paraId="282E5B9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Détails techniques : ……</w:t>
      </w:r>
    </w:p>
    <w:p w14:paraId="157C37E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978508F"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77B76306"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15EDEA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F90A81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B8CC0F6"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51D371F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7C7C6F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6295225" w14:textId="7C8D7E9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01.01.43 Couronnement d’acrotère réalisé à partir de bandes complémentaires Prefalz</w:t>
      </w:r>
    </w:p>
    <w:p w14:paraId="7A410970" w14:textId="070E001C"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couronnements d’acrotère réalisés à partir de bandes complémentaires Prefalz ; fournis avec bandes d’accrochage (sur les deux côtés) et matériel de fixation. Chaque élément sera découpé en respectant la dimension de coupe requise ; leur longueur ne devra toutefois pas excéder 3 000 mm.</w:t>
      </w:r>
    </w:p>
    <w:p w14:paraId="2C14102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18BBF1B3" w14:textId="1679AEDB"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7D34117A" w14:textId="6F1D8FF5" w:rsidR="00C67253"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518F7107" w14:textId="0D238E1A"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06EFEF31"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DB7CF8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4FA0D4F1"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8160128"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Types de raccordement : joint debout, pli d’accrochage, coulisseau ou support en tôle ondulée.</w:t>
      </w:r>
    </w:p>
    <w:p w14:paraId="2F37530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Détails techniques : ……</w:t>
      </w:r>
    </w:p>
    <w:p w14:paraId="78799BF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C61642A"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F4C8ED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710205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0B4EABD" w14:textId="3307FEC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01.01.44 Supplément pour acrotère arrondi (segments)</w:t>
      </w:r>
    </w:p>
    <w:p w14:paraId="679E45A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Supplément appliqué à l’acrotère pour la mise en œuvre d’un acrotère arrondi composé de plusieurs segments.</w:t>
      </w:r>
    </w:p>
    <w:p w14:paraId="3DE2EE3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5D95F97"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F34F2C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D51BA3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361C398" w14:textId="51F68BA8"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01.01.45 Couvertine de bordure de toit angulaire réalisée à partir de bandes complémentaires Prefalz</w:t>
      </w:r>
    </w:p>
    <w:p w14:paraId="0899828D" w14:textId="17A4250F"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couvertines de bordures de toit angulaires réalisées à partir de bandes complémentaires Prefalz ; fournies avec bandes de départ et matériel de fixation. Chaque élément sera découpé en respectant la dimension de coupe requise ; leur longueur ne devra toutefois pas excéder 3 000 mm.</w:t>
      </w:r>
    </w:p>
    <w:p w14:paraId="0432171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0ACAC38" w14:textId="7DFD51C4"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4B57922C"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798F73CE" w14:textId="23DF1D02"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0F5A8D2A"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FE64A5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0BDD8E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E36B05D"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318E48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D0516B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7446EDA" w14:textId="32CC59E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01.01.46 Bavette de corniches et bandeaux de façade réalisée à partir de bandes complémentaires Prefalz</w:t>
      </w:r>
    </w:p>
    <w:p w14:paraId="575D5FE9" w14:textId="2996023E"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bavettes de corniches et bandeaux de façade réalisées à partir de bandes complémentaires Prefalz ; fournies avec bandes de départ et matériel de fixation. Chaque élément sera découpé en respectant la dimension de coupe requise ; leur longueur ne devra toutefois pas excéder 3 000 mm.</w:t>
      </w:r>
    </w:p>
    <w:p w14:paraId="343548C2"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7B350F84" w14:textId="13D0E475"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3DA14160"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6E55D49E" w14:textId="5832403B"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6DCA9BF2"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0CD782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586E63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33A2CAA"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9D02C1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237EF8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6EDF0D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01.01.47 Arrêt de neige pour tuiles PREFA</w:t>
      </w:r>
    </w:p>
    <w:p w14:paraId="613CD17A" w14:textId="1CBAE029"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d’arrêts de neige pour tuiles PREFA. La pose s’effectue toujours en partant de l’égout pour terminer par le faîtage ; sur les deux premières rangées de l’avant-toit, on installera 2 arrêts de neige par tuile. Le nombre des arrêts de neige à installer est défini sur la base des calculs statiques effectués. Respecter les directives de pose PREFA.</w:t>
      </w:r>
    </w:p>
    <w:p w14:paraId="753D2BB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6C2984B"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259517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797CC8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58E1FA7"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3860FD8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BEAA57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3DAB16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01.01.48 Système pare-neige</w:t>
      </w:r>
    </w:p>
    <w:p w14:paraId="27D3A67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système pare-neige PREFA ; comprend le matériel de fixation et, si nécessaire, la pose d’une plaque de support. La disposition du système pare-neige est définie sur la base des calculs statiques effectués. Respecter les directives de pose PREFA.</w:t>
      </w:r>
    </w:p>
    <w:p w14:paraId="7DA6D19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3C27E72" w14:textId="5082080D"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Système pare-neige : 205 × 50 × 300 mm (H × L × P) ; fourni avec glissière de fixation, deux platines avec joints d’étanchéité (diamètre extérieur : 87 mm), matériel de fixation et caches de protection.</w:t>
      </w:r>
    </w:p>
    <w:p w14:paraId="57799C13" w14:textId="034C3AAE"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Trous de passage : barre avec manchon de raccordement ; 3 pc. ; longueur : 3 000 mm</w:t>
      </w:r>
    </w:p>
    <w:p w14:paraId="6F657BB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Les éléments terminaux PREFA sont à monter aux deux extrémités du système pare-neige.</w:t>
      </w:r>
    </w:p>
    <w:p w14:paraId="2348DEA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D9249D1"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3026A3A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5561178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8CFA7E7"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168FBF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396412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4DCDD5" w14:textId="25E9DFDA"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01.01.49 Supplément pour arrêts-glace (système pare-neige)</w:t>
      </w:r>
    </w:p>
    <w:p w14:paraId="31DE305B" w14:textId="53C4691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Arrêts-glace pour le système pare-neige ; env. 4 par mètre.</w:t>
      </w:r>
    </w:p>
    <w:p w14:paraId="33F1F3F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4283911"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76223D2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1A91FF2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DF6554E"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E337EE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8976D2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443753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01.01.50 Système pare-neige</w:t>
      </w:r>
    </w:p>
    <w:p w14:paraId="4AF3B49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système pare-neige PREFA sur voligeage intégral (au niveau de l’avant-toit) ; comprend le matériel de fixation, le mastic d’étanchéité ainsi que la pose d’une plaque de support (si nécessaire). La disposition du système pare-neige est définie sur la base des calculs statiques effectués. Respecter les directives de pose PREFA.</w:t>
      </w:r>
    </w:p>
    <w:p w14:paraId="0263CBE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991A4CC" w14:textId="06DCD5D8"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Crochets pour tubes pare-neige: 30/7 mm, en aluminium trempé</w:t>
      </w:r>
    </w:p>
    <w:p w14:paraId="736BFE13" w14:textId="3331028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 xml:space="preserve">Trous de passage : tubes (15 mm </w:t>
      </w:r>
      <w:r>
        <w:rPr>
          <w:rFonts w:ascii="Arial" w:hAnsi="Arial"/>
          <w:sz w:val="20"/>
          <w:szCs w:val="20"/>
        </w:rPr>
        <w:t>⌀</w:t>
      </w:r>
      <w:r>
        <w:rPr>
          <w:sz w:val="20"/>
          <w:szCs w:val="20"/>
        </w:rPr>
        <w:t>) ; 3 pc. ; longueur : 3 000 mm</w:t>
      </w:r>
    </w:p>
    <w:p w14:paraId="10FF1930" w14:textId="087BFF68"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Douilles d’assemblage : 15 mm (diamètre intérieur)</w:t>
      </w:r>
    </w:p>
    <w:p w14:paraId="25760AB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Les éléments terminaux PREFA sont à monter aux deux extrémités du système pare-neige.</w:t>
      </w:r>
    </w:p>
    <w:p w14:paraId="3C853AB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E2A2F1B"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135E1A9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1C2EEF6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FA2B5AE"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020B2B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174326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1BD734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01.01.51 Support de pare-neige pour rondins</w:t>
      </w:r>
    </w:p>
    <w:p w14:paraId="2BFD3681" w14:textId="78F3CEEC" w:rsidR="004B50AA" w:rsidRPr="003C6144" w:rsidRDefault="002312C1"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supports de pare-neige pour rondins ; comprend le matériel de fixation et, si nécessaire, la pose d’une plaque de support. La disposition des supports de pare-neige pour rondins est définie sur la base des calculs statiques effectués. Respecter les directives de pose PREFA.</w:t>
      </w:r>
    </w:p>
    <w:p w14:paraId="2C20AB10"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7C4F4120" w14:textId="4FD6EE28"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Support de pare-neige pour rondins (300 × 246 mm) ; fourni avec deux platines et joints d’étanchéité (diamètre extérieur : 87 mm), matériel de fixation et caches de protection.</w:t>
      </w:r>
    </w:p>
    <w:p w14:paraId="0782714C" w14:textId="2E910C21"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Trous de passage : rondins d’environ 140 mm de diamètre</w:t>
      </w:r>
    </w:p>
    <w:p w14:paraId="32413013"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09DE1CFA"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290A4EA8"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0B78407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F4E39B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7085668"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5E7871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E3700E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F2AA5E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01.01.52 Crochet de sécurité (conforme à la norme EN 517 B, monté sur platines)</w:t>
      </w:r>
    </w:p>
    <w:p w14:paraId="522BCF7C" w14:textId="2E8F412C"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crochets de sécurité PREFA montés sur platine et conformes à la norme EN 517 B ; crochets de sécurité autorisés pour deux personnes. Crochets de sécurité comprenant deux platines avec joints d’étanchéité (diamètre extérieur : 87 mm) ; matériel de fixation et caches : couleur gris souris. Pose d’une plaque de support si nécessaire. Respecter les directives de pose PREFA.</w:t>
      </w:r>
    </w:p>
    <w:p w14:paraId="75C39AF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C1DDF08" w14:textId="77777777"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crochets de sécurité sont conçus et disposés conformément à la réglementation relative à la prévention des accidents en vigueur dans chaque pays et aux exigences spécifiques posées par chacun des bâtiments.</w:t>
      </w:r>
    </w:p>
    <w:p w14:paraId="5102315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C2AAA32"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acier inoxydable</w:t>
      </w:r>
    </w:p>
    <w:p w14:paraId="6BD01BB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acier inoxydable / gris souris</w:t>
      </w:r>
    </w:p>
    <w:p w14:paraId="29C4871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37E3837"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C3F9A2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F09B3E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24716F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01.01.53 Crochet de sécurité (conforme à la norme EN 517 B)</w:t>
      </w:r>
    </w:p>
    <w:p w14:paraId="2C497D4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crochets de sécurité PREFA comme points d’ancrage unique ; conformes à la norme EN 517 B ; crochets de sécurité autorisés pour une personne. Avec caches de protection, matériel de fixation et mastic d’étanchéité. Pose d’une plaque de support si nécessaire. Respecter les directives de pose PREFA.</w:t>
      </w:r>
    </w:p>
    <w:p w14:paraId="1A576AB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6A53C6E" w14:textId="77777777"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crochets de sécurité sont conçus et disposés conformément à la réglementation relative à la prévention des accidents en vigueur dans chaque pays et aux exigences spécifiques posées par chacun des bâtiments.</w:t>
      </w:r>
    </w:p>
    <w:p w14:paraId="2C0C14E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68B1D63"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acier galvanisé, revêtement thermolaqué</w:t>
      </w:r>
    </w:p>
    <w:p w14:paraId="01F34AA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6D8329B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BE4AE98"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F0AEEE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17B430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0C603E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01.01.54 Support solaire</w:t>
      </w:r>
    </w:p>
    <w:p w14:paraId="078FC760"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supports de panneaux solaires destinés à la fixation de panneaux solaires sur les toitures PREFA. Avec cache de protection, matériel de fixation et mastic d’étanchéité. Le nombre des supports solaires et la distance qui les sépare sont définis sur la base des calculs statiques effectués. Pose d’une plaque de support si nécessaire. Respecter les directives de pose PREFA.</w:t>
      </w:r>
    </w:p>
    <w:p w14:paraId="31E07249"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0A8D2E25" w14:textId="21EFE38E"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Dimensions : 63 × 260 mm</w:t>
      </w:r>
    </w:p>
    <w:p w14:paraId="652FE9D3" w14:textId="20208FE6"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5 mm</w:t>
      </w:r>
    </w:p>
    <w:p w14:paraId="7A2A402E"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Matériau : aluminium</w:t>
      </w:r>
    </w:p>
    <w:p w14:paraId="41ED209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 revêtement thermolaqué</w:t>
      </w:r>
    </w:p>
    <w:p w14:paraId="41073E4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DEC2CD0"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7880024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1E51C8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D84A89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01.01.55 Support de panneau solaire Sunny</w:t>
      </w:r>
    </w:p>
    <w:p w14:paraId="55443CC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supports de panneaux solaires Sunny destinés à la fixation de panneaux solaires sur les toitures PREFA. Fournis avec le kit d’assemblage PREFA pour l’assemblage du cache de protection. Le nombre des supports solaires et la distance qui les sépare sont définis sur la base des calculs statiques effectués. Pose d’une plaque de support si nécessaire. Respecter les directives de pose PREFA.</w:t>
      </w:r>
    </w:p>
    <w:p w14:paraId="35DCD0F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34AA8A4" w14:textId="71E3917C"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Vis de fixation : STS M12 350 mm, aluminium naturel</w:t>
      </w:r>
    </w:p>
    <w:p w14:paraId="12348BE6" w14:textId="4341D92B"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Cache de protection : gris de zinc, revêtement thermolaqué, aluminium de 1,20 mm</w:t>
      </w:r>
    </w:p>
    <w:p w14:paraId="04E7B4D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810B3F4"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3D4856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B0EEAF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6587C5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01.01.56 Chemins de circulation</w:t>
      </w:r>
    </w:p>
    <w:p w14:paraId="5BA7E0F0"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d’un chemin de circulation PREFA ; comprend le cache de protection, le matériel de fixation et le mastic d’étanchéité. Pose d’une plaque de support si nécessaire. Respecter les directives de pose PREFA.</w:t>
      </w:r>
    </w:p>
    <w:p w14:paraId="526D3945"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433ADCFD" w14:textId="3BB9FE84" w:rsidR="004B50AA" w:rsidRPr="00F924B1"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Support de chemin de circulation : 250 mm (écartement entre les supports : max. 900 mm) ; avec cache, inclinaison réglable pour pentes de toits comprises entre 12° et 55°.</w:t>
      </w:r>
    </w:p>
    <w:p w14:paraId="443CB658" w14:textId="0A6D4FA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Chemin de circulation : 250 × 420/600/800/1 200 mm ; avec matériel de fixation et éléments d’assemblage pour chemins de circulation.</w:t>
      </w:r>
    </w:p>
    <w:p w14:paraId="682C1F0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7FAFB100"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acier galvanisé, revêtement thermolaqué</w:t>
      </w:r>
    </w:p>
    <w:p w14:paraId="12263C3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5FE012E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242A986"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26E3F9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A8A496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2E4A6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01.01.57 Supports de chemin de circulation (marchepieds)</w:t>
      </w:r>
    </w:p>
    <w:p w14:paraId="78E86F4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supports de chemins de circulation PREFA ; comprend le cache de protection, le matériel de fixation et le mastic d’étanchéité. Pose d’une plaque de support si nécessaire. Respecter les directives de pose PREFA.</w:t>
      </w:r>
    </w:p>
    <w:p w14:paraId="0801392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1F96E19" w14:textId="55ECEE02"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Support de chemin de circulation : deux éléments de 250 mm (écartement entre les supports : max. 900 mm), avec cache, inclinaison réglable pour pentes de toits comprises entre 12° et 55°.</w:t>
      </w:r>
    </w:p>
    <w:p w14:paraId="49017705" w14:textId="5AD0CFBD"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Chemin de circulation : 250 × 420/600/800 mm ; avec matériel de fixation.</w:t>
      </w:r>
    </w:p>
    <w:p w14:paraId="583FCEA9" w14:textId="77777777" w:rsidR="004B50AA" w:rsidRPr="00F924B1"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Matériau : acier galvanisé, revêtement thermolaqué</w:t>
      </w:r>
    </w:p>
    <w:p w14:paraId="22E80D0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B49758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C2E92AA"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71BD365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2DA4C0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BA3407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01.01.58 Marche de toit</w:t>
      </w:r>
    </w:p>
    <w:p w14:paraId="10EC2D16" w14:textId="7EDDF219"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marches de toit PREFA, composée de deux platines avec joints d’étanchéité (diamètre extérieur : 87 mm), matériel de fixation et caches de protection, inclinaison réglable pour pentes de toits comprises entre 12° et 60°. Respecter les directives de pose PREFA.</w:t>
      </w:r>
    </w:p>
    <w:p w14:paraId="4F8A5D07"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0A1FC168" w14:textId="77777777" w:rsidR="004B50AA" w:rsidRPr="00F924B1"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7F4B652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0A73A59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1A45C6A" w14:textId="77777777"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979F7B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72123F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D6C7CB7" w14:textId="089BF55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01.01.59 Facturation en régie — Nombre d’heures d’ouvriers qualifiés</w:t>
      </w:r>
    </w:p>
    <w:p w14:paraId="65F939B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d’ouvriers qualifiés</w:t>
      </w:r>
    </w:p>
    <w:p w14:paraId="25290FE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3530D1F" w14:textId="50CCBCA8"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142B24B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62B909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057A99B" w14:textId="7FC795D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01.01.60 Facturation en régie — Nombre d’heures de manœuvres</w:t>
      </w:r>
    </w:p>
    <w:p w14:paraId="1E127F9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de manœuvres</w:t>
      </w:r>
    </w:p>
    <w:p w14:paraId="46B5AD5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2C84C4F" w14:textId="7879EC59" w:rsidR="004B50AA" w:rsidRPr="00F924B1"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19243AC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DEFDA7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lang w:val="x-none" w:eastAsia="x-none"/>
        </w:rPr>
      </w:pPr>
    </w:p>
    <w:p w14:paraId="159C7F24"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Titre 01.01 Tuile PREFA  PT ____________</w:t>
      </w:r>
    </w:p>
    <w:p w14:paraId="2FC64A3E" w14:textId="77777777" w:rsidR="004B50AA" w:rsidRPr="003C614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sz w:val="20"/>
        </w:rPr>
      </w:pPr>
      <w:r>
        <w:rPr>
          <w:rFonts w:ascii="Arial" w:hAnsi="Arial"/>
          <w:b/>
          <w:bCs/>
          <w:sz w:val="20"/>
        </w:rPr>
        <w:br w:type="page"/>
        <w:t>  </w:t>
      </w:r>
    </w:p>
    <w:p w14:paraId="651AEEE8"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Récapitulatif</w:t>
      </w:r>
    </w:p>
    <w:p w14:paraId="554C37E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80ABD1D"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rPr>
      </w:pPr>
      <w:r>
        <w:rPr>
          <w:rFonts w:ascii="Arial" w:hAnsi="Arial"/>
        </w:rPr>
        <w:t>Titre 01:01 Tuile PREFA</w:t>
      </w:r>
    </w:p>
    <w:p w14:paraId="7F05F3F2" w14:textId="77777777" w:rsidR="004B50AA" w:rsidRPr="00F924B1"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szCs w:val="20"/>
        </w:rPr>
      </w:pPr>
      <w:r>
        <w:rPr>
          <w:rFonts w:ascii="Arial" w:hAnsi="Arial"/>
          <w:sz w:val="20"/>
          <w:szCs w:val="20"/>
        </w:rPr>
        <w:t>PT _____________</w:t>
      </w:r>
    </w:p>
    <w:p w14:paraId="226C992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B3B5789"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LV 01 Toitures PREFA</w:t>
      </w:r>
    </w:p>
    <w:p w14:paraId="6E9A06B9"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PT __________</w:t>
      </w:r>
    </w:p>
    <w:p w14:paraId="2600CCE3" w14:textId="77777777" w:rsidR="004B50AA" w:rsidRPr="003C6144" w:rsidRDefault="004B50AA" w:rsidP="00C67253">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20"/>
          <w:lang w:val="x-none" w:eastAsia="x-none"/>
        </w:rPr>
      </w:pPr>
    </w:p>
    <w:p w14:paraId="07C0E6AD" w14:textId="77777777" w:rsidR="004B50AA" w:rsidRPr="003C6144" w:rsidRDefault="004B50AA" w:rsidP="00C67253">
      <w:pPr>
        <w:rPr>
          <w:sz w:val="20"/>
          <w:lang w:val="x-none"/>
        </w:rPr>
      </w:pPr>
    </w:p>
    <w:p w14:paraId="0E5E35E5" w14:textId="77777777" w:rsidR="004B50AA" w:rsidRPr="003C6144" w:rsidRDefault="004B50AA">
      <w:pPr>
        <w:rPr>
          <w:sz w:val="20"/>
        </w:rPr>
      </w:pPr>
    </w:p>
    <w:p w14:paraId="1DBA4348" w14:textId="77777777" w:rsidR="009D5B78" w:rsidRPr="003C6144" w:rsidRDefault="009D5B78">
      <w:pPr>
        <w:rPr>
          <w:sz w:val="20"/>
        </w:rPr>
      </w:pPr>
    </w:p>
    <w:sectPr w:rsidR="009D5B78" w:rsidRPr="003C6144" w:rsidSect="00C67253">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783D0" w14:textId="77777777" w:rsidR="00212B10" w:rsidRDefault="00212B10" w:rsidP="00D5549D">
      <w:r>
        <w:separator/>
      </w:r>
    </w:p>
  </w:endnote>
  <w:endnote w:type="continuationSeparator" w:id="0">
    <w:p w14:paraId="0F3051E0" w14:textId="77777777" w:rsidR="00212B10" w:rsidRDefault="00212B10" w:rsidP="00D5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pt">
    <w:panose1 w:val="00000000000000000000"/>
    <w:charset w:val="00"/>
    <w:family w:val="auto"/>
    <w:notTrueType/>
    <w:pitch w:val="variable"/>
    <w:sig w:usb0="00000003" w:usb1="00000000" w:usb2="00000000" w:usb3="00000000" w:csb0="00000001"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CE772" w14:textId="77777777" w:rsidR="00212B10" w:rsidRPr="003C6144" w:rsidRDefault="00212B10">
    <w:pPr>
      <w:rPr>
        <w:sz w:val="20"/>
      </w:rPr>
    </w:pPr>
  </w:p>
  <w:p w14:paraId="6407E497" w14:textId="4EDDB62F" w:rsidR="00212B10" w:rsidRPr="003C6144" w:rsidRDefault="00212B10" w:rsidP="00C67253">
    <w:pPr>
      <w:rPr>
        <w:sz w:val="20"/>
      </w:rPr>
    </w:pPr>
    <w:r>
      <w:rPr>
        <w:sz w:val="20"/>
      </w:rPr>
      <w:t>PREFA Aluminiumprodukte GmbH</w:t>
    </w:r>
    <w:r>
      <w:rPr>
        <w:sz w:val="20"/>
      </w:rPr>
      <w:tab/>
    </w:r>
    <w:r>
      <w:rPr>
        <w:sz w:val="20"/>
      </w:rPr>
      <w:tab/>
    </w:r>
    <w:r>
      <w:rPr>
        <w:sz w:val="20"/>
      </w:rPr>
      <w:tab/>
    </w:r>
    <w:r>
      <w:rPr>
        <w:sz w:val="20"/>
      </w:rPr>
      <w:tab/>
    </w:r>
    <w:r>
      <w:rPr>
        <w:sz w:val="20"/>
      </w:rPr>
      <w:tab/>
    </w:r>
    <w:r>
      <w:rPr>
        <w:sz w:val="20"/>
      </w:rPr>
      <w:tab/>
    </w:r>
    <w:r>
      <w:rPr>
        <w:sz w:val="20"/>
      </w:rPr>
      <w:tab/>
      <w:t xml:space="preserve">page </w:t>
    </w:r>
    <w:r w:rsidRPr="003C6144">
      <w:rPr>
        <w:sz w:val="20"/>
      </w:rPr>
      <w:fldChar w:fldCharType="begin"/>
    </w:r>
    <w:r w:rsidRPr="003C6144">
      <w:rPr>
        <w:sz w:val="20"/>
      </w:rPr>
      <w:instrText xml:space="preserve"> PAGE </w:instrText>
    </w:r>
    <w:r w:rsidRPr="003C6144">
      <w:rPr>
        <w:sz w:val="20"/>
      </w:rPr>
      <w:fldChar w:fldCharType="separate"/>
    </w:r>
    <w:r w:rsidR="00E17253">
      <w:rPr>
        <w:noProof/>
        <w:sz w:val="20"/>
      </w:rPr>
      <w:t>1</w:t>
    </w:r>
    <w:r w:rsidRPr="003C6144">
      <w:rPr>
        <w:sz w:val="20"/>
      </w:rPr>
      <w:fldChar w:fldCharType="end"/>
    </w:r>
    <w:r>
      <w:rPr>
        <w:sz w:val="20"/>
      </w:rPr>
      <w:t xml:space="preserve"> sur </w:t>
    </w:r>
    <w:r w:rsidRPr="003C6144">
      <w:rPr>
        <w:sz w:val="20"/>
      </w:rPr>
      <w:fldChar w:fldCharType="begin"/>
    </w:r>
    <w:r w:rsidRPr="003C6144">
      <w:rPr>
        <w:sz w:val="20"/>
      </w:rPr>
      <w:instrText xml:space="preserve"> NUMPAGES  </w:instrText>
    </w:r>
    <w:r w:rsidRPr="003C6144">
      <w:rPr>
        <w:sz w:val="20"/>
      </w:rPr>
      <w:fldChar w:fldCharType="separate"/>
    </w:r>
    <w:r w:rsidR="00E17253">
      <w:rPr>
        <w:noProof/>
        <w:sz w:val="20"/>
      </w:rPr>
      <w:t>9</w:t>
    </w:r>
    <w:r w:rsidRPr="003C6144">
      <w:rPr>
        <w:sz w:val="20"/>
      </w:rPr>
      <w:fldChar w:fldCharType="end"/>
    </w:r>
  </w:p>
  <w:p w14:paraId="1DD96F71" w14:textId="77777777" w:rsidR="00212B10" w:rsidRPr="003C6144" w:rsidRDefault="00212B10" w:rsidP="00C67253">
    <w:pPr>
      <w:rPr>
        <w:sz w:val="20"/>
      </w:rPr>
    </w:pPr>
    <w:r>
      <w:rPr>
        <w:sz w:val="20"/>
      </w:rPr>
      <w:t>A-3182 Marktl/Lilienfeld (Autriche)</w:t>
    </w:r>
  </w:p>
  <w:p w14:paraId="21226E1A" w14:textId="56B7BFE6" w:rsidR="00212B10" w:rsidRDefault="00E17253" w:rsidP="00C67253">
    <w:pPr>
      <w:pStyle w:val="Fuzeile"/>
    </w:pPr>
    <w:hyperlink r:id="rId1" w:history="1">
      <w:r w:rsidR="00212B10">
        <w:rPr>
          <w:rStyle w:val="Hyperlink"/>
          <w:color w:val="auto"/>
        </w:rPr>
        <w:t>www.prefa.com</w:t>
      </w:r>
    </w:hyperlink>
  </w:p>
  <w:p w14:paraId="3994FBD2" w14:textId="5E3E8FE0" w:rsidR="00212B10" w:rsidRPr="00A75A63" w:rsidRDefault="00212B10" w:rsidP="00C67253">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6382E" w14:textId="77777777" w:rsidR="00212B10" w:rsidRDefault="00212B10" w:rsidP="00D5549D">
      <w:r>
        <w:separator/>
      </w:r>
    </w:p>
  </w:footnote>
  <w:footnote w:type="continuationSeparator" w:id="0">
    <w:p w14:paraId="6A089520" w14:textId="77777777" w:rsidR="00212B10" w:rsidRDefault="00212B10" w:rsidP="00D5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DC47" w14:textId="77777777" w:rsidR="00212B10" w:rsidRDefault="00212B10" w:rsidP="00C67253">
    <w:pPr>
      <w:pStyle w:val="Kopfzeile"/>
      <w:jc w:val="right"/>
    </w:pPr>
    <w:r>
      <w:tab/>
    </w:r>
    <w:r w:rsidR="00E17253">
      <w:pict w14:anchorId="1D36D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0" o:spid="_x0000_i1025" type="#_x0000_t75" alt="Prefa Slogan+Logo.bmp" style="width:135.35pt;height:23.05pt;visibility:visible">
          <v:imagedata r:id="rId1" o:title="Prefa Slogan+Logo"/>
        </v:shape>
      </w:pict>
    </w:r>
  </w:p>
  <w:p w14:paraId="48164F55" w14:textId="77777777" w:rsidR="00212B10" w:rsidRDefault="00212B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33413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0"/>
        <w:szCs w:val="20"/>
        <w:u w:val="none"/>
      </w:rPr>
    </w:lvl>
    <w:lvl w:ilvl="1">
      <w:start w:val="1"/>
      <w:numFmt w:val="bullet"/>
      <w:lvlText w:val=""/>
      <w:lvlJc w:val="left"/>
      <w:rPr>
        <w:rFonts w:ascii="Symbol" w:hAnsi="Symbol" w:cs="Symbol" w:hint="default"/>
        <w:b w:val="0"/>
        <w:bCs w:val="0"/>
        <w:i w:val="0"/>
        <w:iCs w:val="0"/>
        <w:strike w:val="0"/>
        <w:color w:val="000000"/>
        <w:sz w:val="20"/>
        <w:szCs w:val="20"/>
        <w:u w:val="none"/>
      </w:rPr>
    </w:lvl>
    <w:lvl w:ilvl="2">
      <w:start w:val="1"/>
      <w:numFmt w:val="bullet"/>
      <w:lvlText w:val=""/>
      <w:lvlJc w:val="left"/>
      <w:rPr>
        <w:rFonts w:ascii="Symbol" w:hAnsi="Symbol" w:cs="Symbol" w:hint="default"/>
        <w:b w:val="0"/>
        <w:bCs w:val="0"/>
        <w:i w:val="0"/>
        <w:iCs w:val="0"/>
        <w:strike w:val="0"/>
        <w:color w:val="000000"/>
        <w:sz w:val="20"/>
        <w:szCs w:val="20"/>
        <w:u w:val="none"/>
      </w:rPr>
    </w:lvl>
    <w:lvl w:ilvl="3">
      <w:start w:val="1"/>
      <w:numFmt w:val="bullet"/>
      <w:lvlText w:val=""/>
      <w:lvlJc w:val="left"/>
      <w:rPr>
        <w:rFonts w:ascii="Symbol" w:hAnsi="Symbol" w:cs="Symbol" w:hint="default"/>
        <w:b w:val="0"/>
        <w:bCs w:val="0"/>
        <w:i w:val="0"/>
        <w:iCs w:val="0"/>
        <w:strike w:val="0"/>
        <w:color w:val="000000"/>
        <w:sz w:val="20"/>
        <w:szCs w:val="20"/>
        <w:u w:val="none"/>
      </w:rPr>
    </w:lvl>
    <w:lvl w:ilvl="4">
      <w:start w:val="1"/>
      <w:numFmt w:val="bullet"/>
      <w:lvlText w:val=""/>
      <w:lvlJc w:val="left"/>
      <w:rPr>
        <w:rFonts w:ascii="Symbol" w:hAnsi="Symbol" w:cs="Symbol" w:hint="default"/>
        <w:b w:val="0"/>
        <w:bCs w:val="0"/>
        <w:i w:val="0"/>
        <w:iCs w:val="0"/>
        <w:strike w:val="0"/>
        <w:color w:val="000000"/>
        <w:sz w:val="20"/>
        <w:szCs w:val="20"/>
        <w:u w:val="none"/>
      </w:rPr>
    </w:lvl>
    <w:lvl w:ilvl="5">
      <w:start w:val="1"/>
      <w:numFmt w:val="bullet"/>
      <w:lvlText w:val=""/>
      <w:lvlJc w:val="left"/>
      <w:rPr>
        <w:rFonts w:ascii="Symbol" w:hAnsi="Symbol" w:cs="Symbol" w:hint="default"/>
        <w:b w:val="0"/>
        <w:bCs w:val="0"/>
        <w:i w:val="0"/>
        <w:iCs w:val="0"/>
        <w:strike w:val="0"/>
        <w:color w:val="000000"/>
        <w:sz w:val="20"/>
        <w:szCs w:val="20"/>
        <w:u w:val="none"/>
      </w:rPr>
    </w:lvl>
    <w:lvl w:ilvl="6">
      <w:start w:val="1"/>
      <w:numFmt w:val="bullet"/>
      <w:lvlText w:val=""/>
      <w:lvlJc w:val="left"/>
      <w:rPr>
        <w:rFonts w:ascii="Symbol" w:hAnsi="Symbol" w:cs="Symbol" w:hint="default"/>
        <w:b w:val="0"/>
        <w:bCs w:val="0"/>
        <w:i w:val="0"/>
        <w:iCs w:val="0"/>
        <w:strike w:val="0"/>
        <w:color w:val="000000"/>
        <w:sz w:val="20"/>
        <w:szCs w:val="20"/>
        <w:u w:val="none"/>
      </w:rPr>
    </w:lvl>
    <w:lvl w:ilvl="7">
      <w:start w:val="1"/>
      <w:numFmt w:val="bullet"/>
      <w:lvlText w:val=""/>
      <w:lvlJc w:val="left"/>
      <w:rPr>
        <w:rFonts w:ascii="Symbol" w:hAnsi="Symbol" w:cs="Symbol" w:hint="default"/>
        <w:b w:val="0"/>
        <w:bCs w:val="0"/>
        <w:i w:val="0"/>
        <w:iCs w:val="0"/>
        <w:strike w:val="0"/>
        <w:color w:val="000000"/>
        <w:sz w:val="20"/>
        <w:szCs w:val="20"/>
        <w:u w:val="none"/>
      </w:rPr>
    </w:lvl>
    <w:lvl w:ilvl="8">
      <w:start w:val="1"/>
      <w:numFmt w:val="bullet"/>
      <w:lvlText w:val=""/>
      <w:lvlJc w:val="left"/>
      <w:rPr>
        <w:rFonts w:ascii="Symbol" w:hAnsi="Symbol" w:cs="Symbol" w:hint="default"/>
        <w:b w:val="0"/>
        <w:bCs w:val="0"/>
        <w:i w:val="0"/>
        <w:iCs w:val="0"/>
        <w:strike w:val="0"/>
        <w:color w:val="000000"/>
        <w:sz w:val="20"/>
        <w:szCs w:val="20"/>
        <w:u w:val="none"/>
      </w:rPr>
    </w:lvl>
  </w:abstractNum>
  <w:abstractNum w:abstractNumId="2" w15:restartNumberingAfterBreak="0">
    <w:nsid w:val="02DA1BA5"/>
    <w:multiLevelType w:val="hybridMultilevel"/>
    <w:tmpl w:val="8DAEC86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6B27AA"/>
    <w:multiLevelType w:val="hybridMultilevel"/>
    <w:tmpl w:val="CDFCF61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23F5B"/>
    <w:multiLevelType w:val="hybridMultilevel"/>
    <w:tmpl w:val="AF3E62D8"/>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F67B87"/>
    <w:multiLevelType w:val="hybridMultilevel"/>
    <w:tmpl w:val="7CA092F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D44634"/>
    <w:multiLevelType w:val="hybridMultilevel"/>
    <w:tmpl w:val="DB2263DC"/>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B19BE"/>
    <w:multiLevelType w:val="hybridMultilevel"/>
    <w:tmpl w:val="A5D424D2"/>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264DE7"/>
    <w:multiLevelType w:val="hybridMultilevel"/>
    <w:tmpl w:val="C00E93D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05B52"/>
    <w:multiLevelType w:val="hybridMultilevel"/>
    <w:tmpl w:val="14DED2F8"/>
    <w:lvl w:ilvl="0" w:tplc="FF54CB7E">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2E1127"/>
    <w:multiLevelType w:val="hybridMultilevel"/>
    <w:tmpl w:val="80CA5F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496EAF"/>
    <w:multiLevelType w:val="hybridMultilevel"/>
    <w:tmpl w:val="44FA8B8C"/>
    <w:lvl w:ilvl="0" w:tplc="CD5CC6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9E67C8"/>
    <w:multiLevelType w:val="multilevel"/>
    <w:tmpl w:val="8006C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3C6CF0"/>
    <w:multiLevelType w:val="hybridMultilevel"/>
    <w:tmpl w:val="070C9E64"/>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BB6CBD"/>
    <w:multiLevelType w:val="hybridMultilevel"/>
    <w:tmpl w:val="CB809158"/>
    <w:lvl w:ilvl="0" w:tplc="F500918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6239D2"/>
    <w:multiLevelType w:val="hybridMultilevel"/>
    <w:tmpl w:val="DC5EA98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8A2C33"/>
    <w:multiLevelType w:val="hybridMultilevel"/>
    <w:tmpl w:val="9DC87AC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E3294F"/>
    <w:multiLevelType w:val="hybridMultilevel"/>
    <w:tmpl w:val="D604E9F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87312D"/>
    <w:multiLevelType w:val="multilevel"/>
    <w:tmpl w:val="9A56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851697"/>
    <w:multiLevelType w:val="hybridMultilevel"/>
    <w:tmpl w:val="CDB2DE0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213B51"/>
    <w:multiLevelType w:val="hybridMultilevel"/>
    <w:tmpl w:val="C1741B0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3C3FF8"/>
    <w:multiLevelType w:val="hybridMultilevel"/>
    <w:tmpl w:val="D9D8CD7C"/>
    <w:lvl w:ilvl="0" w:tplc="804ECA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A0702D"/>
    <w:multiLevelType w:val="hybridMultilevel"/>
    <w:tmpl w:val="84088B80"/>
    <w:lvl w:ilvl="0" w:tplc="F4AE4B1A">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4B344A"/>
    <w:multiLevelType w:val="hybridMultilevel"/>
    <w:tmpl w:val="9456253C"/>
    <w:lvl w:ilvl="0" w:tplc="651E9834">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C1C7B"/>
    <w:multiLevelType w:val="hybridMultilevel"/>
    <w:tmpl w:val="F57E77A4"/>
    <w:lvl w:ilvl="0" w:tplc="9528C68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382D54"/>
    <w:multiLevelType w:val="hybridMultilevel"/>
    <w:tmpl w:val="6B3676A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956DA6"/>
    <w:multiLevelType w:val="hybridMultilevel"/>
    <w:tmpl w:val="74344916"/>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324A36"/>
    <w:multiLevelType w:val="hybridMultilevel"/>
    <w:tmpl w:val="69205976"/>
    <w:lvl w:ilvl="0" w:tplc="F52658A6">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01703D"/>
    <w:multiLevelType w:val="multilevel"/>
    <w:tmpl w:val="575E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273CF7"/>
    <w:multiLevelType w:val="hybridMultilevel"/>
    <w:tmpl w:val="B4C6893C"/>
    <w:lvl w:ilvl="0" w:tplc="AE44F80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E94124"/>
    <w:multiLevelType w:val="hybridMultilevel"/>
    <w:tmpl w:val="56D475E0"/>
    <w:lvl w:ilvl="0" w:tplc="183E5946">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916251"/>
    <w:multiLevelType w:val="hybridMultilevel"/>
    <w:tmpl w:val="038A2D96"/>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28334A"/>
    <w:multiLevelType w:val="hybridMultilevel"/>
    <w:tmpl w:val="C8F03144"/>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B831806"/>
    <w:multiLevelType w:val="hybridMultilevel"/>
    <w:tmpl w:val="9B78E4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2F1425"/>
    <w:multiLevelType w:val="hybridMultilevel"/>
    <w:tmpl w:val="7570A59E"/>
    <w:lvl w:ilvl="0" w:tplc="DE5036B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lvl w:ilvl="0">
        <w:start w:val="1"/>
        <w:numFmt w:val="bullet"/>
        <w:suff w:val="space"/>
        <w:lvlText w:val=""/>
        <w:lvlJc w:val="left"/>
        <w:rPr>
          <w:rFonts w:ascii="Symbol" w:hAnsi="Symbol" w:cs="Symbol" w:hint="default"/>
          <w:b w:val="0"/>
          <w:bCs w:val="0"/>
          <w:i w:val="0"/>
          <w:iCs w:val="0"/>
          <w:strike w:val="0"/>
          <w:color w:val="auto"/>
          <w:sz w:val="20"/>
          <w:szCs w:val="20"/>
          <w:u w:val="none"/>
        </w:rPr>
      </w:lvl>
    </w:lvlOverride>
    <w:lvlOverride w:ilvl="1">
      <w:lvl w:ilvl="1">
        <w:start w:val="1"/>
        <w:numFmt w:val="bullet"/>
        <w:lvlText w:val=""/>
        <w:lvlJc w:val="left"/>
        <w:rPr>
          <w:rFonts w:ascii="Symbol" w:hAnsi="Symbol" w:cs="Symbol" w:hint="default"/>
          <w:b w:val="0"/>
          <w:bCs w:val="0"/>
          <w:i w:val="0"/>
          <w:iCs w:val="0"/>
          <w:strike w:val="0"/>
          <w:color w:val="000000"/>
          <w:sz w:val="20"/>
          <w:szCs w:val="20"/>
          <w:u w:val="none"/>
        </w:rPr>
      </w:lvl>
    </w:lvlOverride>
    <w:lvlOverride w:ilvl="2">
      <w:lvl w:ilvl="2">
        <w:start w:val="1"/>
        <w:numFmt w:val="bullet"/>
        <w:lvlText w:val=""/>
        <w:lvlJc w:val="left"/>
        <w:rPr>
          <w:rFonts w:ascii="Symbol" w:hAnsi="Symbol" w:cs="Symbol" w:hint="default"/>
          <w:b w:val="0"/>
          <w:bCs w:val="0"/>
          <w:i w:val="0"/>
          <w:iCs w:val="0"/>
          <w:strike w:val="0"/>
          <w:color w:val="000000"/>
          <w:sz w:val="20"/>
          <w:szCs w:val="20"/>
          <w:u w:val="none"/>
        </w:rPr>
      </w:lvl>
    </w:lvlOverride>
    <w:lvlOverride w:ilvl="3">
      <w:lvl w:ilvl="3">
        <w:start w:val="1"/>
        <w:numFmt w:val="bullet"/>
        <w:lvlText w:val=""/>
        <w:lvlJc w:val="left"/>
        <w:rPr>
          <w:rFonts w:ascii="Symbol" w:hAnsi="Symbol" w:cs="Symbol" w:hint="default"/>
          <w:b w:val="0"/>
          <w:bCs w:val="0"/>
          <w:i w:val="0"/>
          <w:iCs w:val="0"/>
          <w:strike w:val="0"/>
          <w:color w:val="000000"/>
          <w:sz w:val="20"/>
          <w:szCs w:val="20"/>
          <w:u w:val="none"/>
        </w:rPr>
      </w:lvl>
    </w:lvlOverride>
    <w:lvlOverride w:ilvl="4">
      <w:lvl w:ilvl="4">
        <w:start w:val="1"/>
        <w:numFmt w:val="bullet"/>
        <w:lvlText w:val=""/>
        <w:lvlJc w:val="left"/>
        <w:rPr>
          <w:rFonts w:ascii="Symbol" w:hAnsi="Symbol" w:cs="Symbol" w:hint="default"/>
          <w:b w:val="0"/>
          <w:bCs w:val="0"/>
          <w:i w:val="0"/>
          <w:iCs w:val="0"/>
          <w:strike w:val="0"/>
          <w:color w:val="000000"/>
          <w:sz w:val="20"/>
          <w:szCs w:val="20"/>
          <w:u w:val="none"/>
        </w:rPr>
      </w:lvl>
    </w:lvlOverride>
    <w:lvlOverride w:ilvl="5">
      <w:lvl w:ilvl="5">
        <w:start w:val="1"/>
        <w:numFmt w:val="bullet"/>
        <w:lvlText w:val=""/>
        <w:lvlJc w:val="left"/>
        <w:rPr>
          <w:rFonts w:ascii="Symbol" w:hAnsi="Symbol" w:cs="Symbol" w:hint="default"/>
          <w:b w:val="0"/>
          <w:bCs w:val="0"/>
          <w:i w:val="0"/>
          <w:iCs w:val="0"/>
          <w:strike w:val="0"/>
          <w:color w:val="000000"/>
          <w:sz w:val="20"/>
          <w:szCs w:val="20"/>
          <w:u w:val="none"/>
        </w:rPr>
      </w:lvl>
    </w:lvlOverride>
    <w:lvlOverride w:ilvl="6">
      <w:lvl w:ilvl="6">
        <w:start w:val="1"/>
        <w:numFmt w:val="bullet"/>
        <w:lvlText w:val=""/>
        <w:lvlJc w:val="left"/>
        <w:rPr>
          <w:rFonts w:ascii="Symbol" w:hAnsi="Symbol" w:cs="Symbol" w:hint="default"/>
          <w:b w:val="0"/>
          <w:bCs w:val="0"/>
          <w:i w:val="0"/>
          <w:iCs w:val="0"/>
          <w:strike w:val="0"/>
          <w:color w:val="000000"/>
          <w:sz w:val="20"/>
          <w:szCs w:val="20"/>
          <w:u w:val="none"/>
        </w:rPr>
      </w:lvl>
    </w:lvlOverride>
    <w:lvlOverride w:ilvl="7">
      <w:lvl w:ilvl="7">
        <w:start w:val="1"/>
        <w:numFmt w:val="bullet"/>
        <w:lvlText w:val=""/>
        <w:lvlJc w:val="left"/>
        <w:rPr>
          <w:rFonts w:ascii="Symbol" w:hAnsi="Symbol" w:cs="Symbol" w:hint="default"/>
          <w:b w:val="0"/>
          <w:bCs w:val="0"/>
          <w:i w:val="0"/>
          <w:iCs w:val="0"/>
          <w:strike w:val="0"/>
          <w:color w:val="000000"/>
          <w:sz w:val="20"/>
          <w:szCs w:val="20"/>
          <w:u w:val="none"/>
        </w:rPr>
      </w:lvl>
    </w:lvlOverride>
    <w:lvlOverride w:ilvl="8">
      <w:lvl w:ilvl="8">
        <w:start w:val="1"/>
        <w:numFmt w:val="bullet"/>
        <w:lvlText w:val=""/>
        <w:lvlJc w:val="left"/>
        <w:rPr>
          <w:rFonts w:ascii="Symbol" w:hAnsi="Symbol" w:cs="Symbol" w:hint="default"/>
          <w:b w:val="0"/>
          <w:bCs w:val="0"/>
          <w:i w:val="0"/>
          <w:iCs w:val="0"/>
          <w:strike w:val="0"/>
          <w:color w:val="000000"/>
          <w:sz w:val="20"/>
          <w:szCs w:val="20"/>
          <w:u w:val="none"/>
        </w:rPr>
      </w:lvl>
    </w:lvlOverride>
  </w:num>
  <w:num w:numId="3">
    <w:abstractNumId w:val="1"/>
  </w:num>
  <w:num w:numId="4">
    <w:abstractNumId w:val="29"/>
  </w:num>
  <w:num w:numId="5">
    <w:abstractNumId w:val="9"/>
  </w:num>
  <w:num w:numId="6">
    <w:abstractNumId w:val="0"/>
  </w:num>
  <w:num w:numId="7">
    <w:abstractNumId w:val="3"/>
  </w:num>
  <w:num w:numId="8">
    <w:abstractNumId w:val="5"/>
  </w:num>
  <w:num w:numId="9">
    <w:abstractNumId w:val="34"/>
  </w:num>
  <w:num w:numId="10">
    <w:abstractNumId w:val="8"/>
  </w:num>
  <w:num w:numId="11">
    <w:abstractNumId w:val="11"/>
  </w:num>
  <w:num w:numId="12">
    <w:abstractNumId w:val="10"/>
  </w:num>
  <w:num w:numId="13">
    <w:abstractNumId w:val="18"/>
  </w:num>
  <w:num w:numId="14">
    <w:abstractNumId w:val="23"/>
  </w:num>
  <w:num w:numId="15">
    <w:abstractNumId w:val="27"/>
  </w:num>
  <w:num w:numId="16">
    <w:abstractNumId w:val="26"/>
  </w:num>
  <w:num w:numId="17">
    <w:abstractNumId w:val="14"/>
  </w:num>
  <w:num w:numId="18">
    <w:abstractNumId w:val="15"/>
  </w:num>
  <w:num w:numId="19">
    <w:abstractNumId w:val="28"/>
  </w:num>
  <w:num w:numId="20">
    <w:abstractNumId w:val="30"/>
  </w:num>
  <w:num w:numId="21">
    <w:abstractNumId w:val="21"/>
  </w:num>
  <w:num w:numId="22">
    <w:abstractNumId w:val="6"/>
  </w:num>
  <w:num w:numId="23">
    <w:abstractNumId w:val="12"/>
  </w:num>
  <w:num w:numId="24">
    <w:abstractNumId w:val="22"/>
  </w:num>
  <w:num w:numId="25">
    <w:abstractNumId w:val="24"/>
  </w:num>
  <w:num w:numId="26">
    <w:abstractNumId w:val="19"/>
  </w:num>
  <w:num w:numId="27">
    <w:abstractNumId w:val="31"/>
  </w:num>
  <w:num w:numId="28">
    <w:abstractNumId w:val="13"/>
  </w:num>
  <w:num w:numId="29">
    <w:abstractNumId w:val="16"/>
  </w:num>
  <w:num w:numId="30">
    <w:abstractNumId w:val="25"/>
  </w:num>
  <w:num w:numId="31">
    <w:abstractNumId w:val="7"/>
  </w:num>
  <w:num w:numId="32">
    <w:abstractNumId w:val="2"/>
  </w:num>
  <w:num w:numId="33">
    <w:abstractNumId w:val="32"/>
  </w:num>
  <w:num w:numId="34">
    <w:abstractNumId w:val="4"/>
  </w:num>
  <w:num w:numId="35">
    <w:abstractNumId w:val="17"/>
  </w:num>
  <w:num w:numId="36">
    <w:abstractNumId w:val="3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8"/>
  <w:hyphenationZone w:val="425"/>
  <w:characterSpacingControl w:val="doNotCompress"/>
  <w:hdrShapeDefaults>
    <o:shapedefaults v:ext="edit" spidmax="614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0AA"/>
    <w:rsid w:val="00005954"/>
    <w:rsid w:val="000575D3"/>
    <w:rsid w:val="00066857"/>
    <w:rsid w:val="00067ACA"/>
    <w:rsid w:val="0008237C"/>
    <w:rsid w:val="000C662D"/>
    <w:rsid w:val="000D75E6"/>
    <w:rsid w:val="000E5E56"/>
    <w:rsid w:val="00120688"/>
    <w:rsid w:val="0014572A"/>
    <w:rsid w:val="001526CE"/>
    <w:rsid w:val="00154385"/>
    <w:rsid w:val="0018769B"/>
    <w:rsid w:val="001A208A"/>
    <w:rsid w:val="001B3F5D"/>
    <w:rsid w:val="001F404D"/>
    <w:rsid w:val="001F52BA"/>
    <w:rsid w:val="002031C0"/>
    <w:rsid w:val="00212B10"/>
    <w:rsid w:val="00224879"/>
    <w:rsid w:val="00225F5A"/>
    <w:rsid w:val="002312C1"/>
    <w:rsid w:val="00277601"/>
    <w:rsid w:val="002833D7"/>
    <w:rsid w:val="002D654F"/>
    <w:rsid w:val="003102D4"/>
    <w:rsid w:val="00367873"/>
    <w:rsid w:val="00374371"/>
    <w:rsid w:val="00390C3F"/>
    <w:rsid w:val="003A17D0"/>
    <w:rsid w:val="003B5CE5"/>
    <w:rsid w:val="003C4F35"/>
    <w:rsid w:val="003C6144"/>
    <w:rsid w:val="00401FDE"/>
    <w:rsid w:val="0042484F"/>
    <w:rsid w:val="00432AFC"/>
    <w:rsid w:val="0043339B"/>
    <w:rsid w:val="004356AA"/>
    <w:rsid w:val="004B50AA"/>
    <w:rsid w:val="004B702F"/>
    <w:rsid w:val="004C17A5"/>
    <w:rsid w:val="004C255B"/>
    <w:rsid w:val="004D22D4"/>
    <w:rsid w:val="004D40C0"/>
    <w:rsid w:val="004F5B33"/>
    <w:rsid w:val="00503114"/>
    <w:rsid w:val="005079B0"/>
    <w:rsid w:val="00522A71"/>
    <w:rsid w:val="00522FF3"/>
    <w:rsid w:val="005263B9"/>
    <w:rsid w:val="00534A73"/>
    <w:rsid w:val="005400B7"/>
    <w:rsid w:val="0055473C"/>
    <w:rsid w:val="00557292"/>
    <w:rsid w:val="00575AE9"/>
    <w:rsid w:val="005A1A53"/>
    <w:rsid w:val="005C0DDA"/>
    <w:rsid w:val="005E4DC6"/>
    <w:rsid w:val="00625FA2"/>
    <w:rsid w:val="00643428"/>
    <w:rsid w:val="00671E60"/>
    <w:rsid w:val="00683F90"/>
    <w:rsid w:val="006926E0"/>
    <w:rsid w:val="006A6B98"/>
    <w:rsid w:val="006B5EF7"/>
    <w:rsid w:val="006C7B36"/>
    <w:rsid w:val="006D10EB"/>
    <w:rsid w:val="006E2813"/>
    <w:rsid w:val="006E4D85"/>
    <w:rsid w:val="006F382B"/>
    <w:rsid w:val="00707BC4"/>
    <w:rsid w:val="007156E0"/>
    <w:rsid w:val="0076166F"/>
    <w:rsid w:val="0077439C"/>
    <w:rsid w:val="00784B57"/>
    <w:rsid w:val="00786479"/>
    <w:rsid w:val="00791BAB"/>
    <w:rsid w:val="007B05CD"/>
    <w:rsid w:val="007B0D02"/>
    <w:rsid w:val="007C7B79"/>
    <w:rsid w:val="007E4428"/>
    <w:rsid w:val="007F516A"/>
    <w:rsid w:val="00801D30"/>
    <w:rsid w:val="008176B6"/>
    <w:rsid w:val="008565C4"/>
    <w:rsid w:val="00872007"/>
    <w:rsid w:val="008D0A34"/>
    <w:rsid w:val="008E6369"/>
    <w:rsid w:val="008F67B9"/>
    <w:rsid w:val="009506B6"/>
    <w:rsid w:val="009672E3"/>
    <w:rsid w:val="009911D0"/>
    <w:rsid w:val="009A0005"/>
    <w:rsid w:val="009C5159"/>
    <w:rsid w:val="009C68F7"/>
    <w:rsid w:val="009D35F9"/>
    <w:rsid w:val="009D5B78"/>
    <w:rsid w:val="00A12138"/>
    <w:rsid w:val="00A12778"/>
    <w:rsid w:val="00A673F0"/>
    <w:rsid w:val="00AB69D6"/>
    <w:rsid w:val="00AD4D79"/>
    <w:rsid w:val="00AE4F71"/>
    <w:rsid w:val="00AF0BEF"/>
    <w:rsid w:val="00B166EB"/>
    <w:rsid w:val="00B25792"/>
    <w:rsid w:val="00B26D16"/>
    <w:rsid w:val="00B4659B"/>
    <w:rsid w:val="00B47E6D"/>
    <w:rsid w:val="00B54E89"/>
    <w:rsid w:val="00B81007"/>
    <w:rsid w:val="00BC676E"/>
    <w:rsid w:val="00BE131E"/>
    <w:rsid w:val="00C000E1"/>
    <w:rsid w:val="00C11A9A"/>
    <w:rsid w:val="00C14F2A"/>
    <w:rsid w:val="00C57A8F"/>
    <w:rsid w:val="00C67253"/>
    <w:rsid w:val="00C87265"/>
    <w:rsid w:val="00C95C3E"/>
    <w:rsid w:val="00CA4977"/>
    <w:rsid w:val="00CE7876"/>
    <w:rsid w:val="00D101F8"/>
    <w:rsid w:val="00D1260F"/>
    <w:rsid w:val="00D17741"/>
    <w:rsid w:val="00D5549D"/>
    <w:rsid w:val="00DC6DC0"/>
    <w:rsid w:val="00DD10B8"/>
    <w:rsid w:val="00DD1777"/>
    <w:rsid w:val="00DF5F80"/>
    <w:rsid w:val="00E17253"/>
    <w:rsid w:val="00E439CA"/>
    <w:rsid w:val="00E50CDF"/>
    <w:rsid w:val="00E5142A"/>
    <w:rsid w:val="00EB1AA4"/>
    <w:rsid w:val="00EB489E"/>
    <w:rsid w:val="00EB6678"/>
    <w:rsid w:val="00ED141C"/>
    <w:rsid w:val="00ED191E"/>
    <w:rsid w:val="00ED3EC6"/>
    <w:rsid w:val="00F0363D"/>
    <w:rsid w:val="00F13D38"/>
    <w:rsid w:val="00F27EFD"/>
    <w:rsid w:val="00F456BF"/>
    <w:rsid w:val="00F50D7A"/>
    <w:rsid w:val="00F51BD2"/>
    <w:rsid w:val="00FB17BC"/>
    <w:rsid w:val="00FD4302"/>
    <w:rsid w:val="00FF520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14:docId w14:val="7AE25B1F"/>
  <w14:defaultImageDpi w14:val="300"/>
  <w15:docId w15:val="{457832FF-81C7-4F7E-AA19-C7E16AD6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KopfzeileZchn">
    <w:name w:val="Kopfzeile Zchn"/>
    <w:basedOn w:val="Absatz-Standardschriftart"/>
    <w:link w:val="Kopfzeile"/>
    <w:uiPriority w:val="99"/>
    <w:rsid w:val="004B50AA"/>
    <w:rPr>
      <w:rFonts w:ascii="Calibri" w:eastAsia="Calibri" w:hAnsi="Calibri" w:cs="Times New Roman"/>
      <w:sz w:val="22"/>
      <w:szCs w:val="22"/>
      <w:lang w:val="fr-FR" w:eastAsia="en-US"/>
    </w:rPr>
  </w:style>
  <w:style w:type="paragraph" w:styleId="Fuzeile">
    <w:name w:val="footer"/>
    <w:basedOn w:val="Standard"/>
    <w:link w:val="Fu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FuzeileZchn">
    <w:name w:val="Fußzeile Zchn"/>
    <w:basedOn w:val="Absatz-Standardschriftart"/>
    <w:link w:val="Fuzeile"/>
    <w:uiPriority w:val="99"/>
    <w:rsid w:val="004B50AA"/>
    <w:rPr>
      <w:rFonts w:ascii="Calibri" w:eastAsia="Calibri" w:hAnsi="Calibri" w:cs="Times New Roman"/>
      <w:sz w:val="22"/>
      <w:szCs w:val="22"/>
      <w:lang w:val="fr-FR" w:eastAsia="en-US"/>
    </w:rPr>
  </w:style>
  <w:style w:type="paragraph" w:styleId="Sprechblasentext">
    <w:name w:val="Balloon Text"/>
    <w:basedOn w:val="Standard"/>
    <w:link w:val="SprechblasentextZchn"/>
    <w:uiPriority w:val="99"/>
    <w:semiHidden/>
    <w:unhideWhenUsed/>
    <w:rsid w:val="004B50AA"/>
    <w:rPr>
      <w:rFonts w:ascii="Tahoma" w:eastAsia="Calibr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4B50AA"/>
    <w:rPr>
      <w:rFonts w:ascii="Tahoma" w:eastAsia="Calibri" w:hAnsi="Tahoma" w:cs="Tahoma"/>
      <w:sz w:val="16"/>
      <w:szCs w:val="16"/>
      <w:lang w:val="fr-FR" w:eastAsia="en-US"/>
    </w:rPr>
  </w:style>
  <w:style w:type="character" w:styleId="Hyperlink">
    <w:name w:val="Hyperlink"/>
    <w:uiPriority w:val="99"/>
    <w:unhideWhenUsed/>
    <w:rsid w:val="004B50AA"/>
    <w:rPr>
      <w:color w:val="0000FF"/>
      <w:u w:val="single"/>
    </w:rPr>
  </w:style>
  <w:style w:type="character" w:styleId="Platzhaltertext">
    <w:name w:val="Placeholder Text"/>
    <w:uiPriority w:val="99"/>
    <w:semiHidden/>
    <w:rsid w:val="004B50AA"/>
    <w:rPr>
      <w:color w:val="808080"/>
    </w:rPr>
  </w:style>
  <w:style w:type="paragraph" w:customStyle="1" w:styleId="Normal">
    <w:name w:val="[Normal]"/>
    <w:uiPriority w:val="99"/>
    <w:rsid w:val="004B50AA"/>
    <w:pPr>
      <w:widowControl w:val="0"/>
      <w:autoSpaceDE w:val="0"/>
      <w:autoSpaceDN w:val="0"/>
      <w:adjustRightInd w:val="0"/>
    </w:pPr>
    <w:rPr>
      <w:rFonts w:ascii="Arial" w:eastAsia="Calibri" w:hAnsi="Arial" w:cs="Arial"/>
      <w:lang w:eastAsia="de-DE"/>
    </w:rPr>
  </w:style>
  <w:style w:type="paragraph" w:styleId="NurText">
    <w:name w:val="Plain Text"/>
    <w:basedOn w:val="Standard"/>
    <w:link w:val="NurTextZchn"/>
    <w:uiPriority w:val="99"/>
    <w:rsid w:val="004B50AA"/>
    <w:pPr>
      <w:widowControl w:val="0"/>
      <w:autoSpaceDE w:val="0"/>
      <w:autoSpaceDN w:val="0"/>
      <w:adjustRightInd w:val="0"/>
    </w:pPr>
    <w:rPr>
      <w:rFonts w:ascii="Courier New" w:eastAsia="Calibri" w:hAnsi="Courier New" w:cs="Courier New"/>
      <w:sz w:val="20"/>
      <w:szCs w:val="20"/>
      <w:lang w:eastAsia="de-DE"/>
    </w:rPr>
  </w:style>
  <w:style w:type="character" w:customStyle="1" w:styleId="NurTextZchn">
    <w:name w:val="Nur Text Zchn"/>
    <w:basedOn w:val="Absatz-Standardschriftart"/>
    <w:link w:val="NurText"/>
    <w:uiPriority w:val="99"/>
    <w:rsid w:val="004B50AA"/>
    <w:rPr>
      <w:rFonts w:ascii="Courier New" w:eastAsia="Calibri" w:hAnsi="Courier New" w:cs="Courier New"/>
      <w:sz w:val="20"/>
      <w:szCs w:val="20"/>
      <w:lang w:val="fr-FR" w:eastAsia="de-DE"/>
    </w:rPr>
  </w:style>
  <w:style w:type="numbering" w:customStyle="1" w:styleId="KeineListe1">
    <w:name w:val="Keine Liste1"/>
    <w:next w:val="KeineListe"/>
    <w:uiPriority w:val="99"/>
    <w:semiHidden/>
    <w:unhideWhenUsed/>
    <w:rsid w:val="004B50AA"/>
  </w:style>
  <w:style w:type="paragraph" w:customStyle="1" w:styleId="BODY">
    <w:name w:val="BODY"/>
    <w:basedOn w:val="Normal"/>
    <w:uiPriority w:val="99"/>
    <w:rsid w:val="004B50AA"/>
    <w:pPr>
      <w:widowControl/>
    </w:pPr>
    <w:rPr>
      <w:rFonts w:ascii="Arialpt" w:hAnsi="Arialpt" w:cs="Arialpt"/>
      <w:sz w:val="20"/>
      <w:szCs w:val="20"/>
    </w:rPr>
  </w:style>
  <w:style w:type="paragraph" w:customStyle="1" w:styleId="P">
    <w:name w:val="P"/>
    <w:basedOn w:val="BODY"/>
    <w:uiPriority w:val="99"/>
    <w:rsid w:val="004B50AA"/>
    <w:pPr>
      <w:tabs>
        <w:tab w:val="left" w:pos="0"/>
      </w:tabs>
      <w:ind w:right="6220"/>
    </w:pPr>
    <w:rPr>
      <w:rFonts w:ascii="Arial" w:hAnsi="Arial" w:cs="Arial"/>
    </w:rPr>
  </w:style>
  <w:style w:type="character" w:customStyle="1" w:styleId="B">
    <w:name w:val="B"/>
    <w:uiPriority w:val="99"/>
    <w:rsid w:val="004B50AA"/>
    <w:rPr>
      <w:b/>
      <w:bCs/>
    </w:rPr>
  </w:style>
  <w:style w:type="paragraph" w:styleId="StandardWeb">
    <w:name w:val="Normal (Web)"/>
    <w:basedOn w:val="Standard"/>
    <w:uiPriority w:val="99"/>
    <w:unhideWhenUsed/>
    <w:rsid w:val="004B50AA"/>
    <w:pPr>
      <w:spacing w:before="100" w:beforeAutospacing="1" w:after="100" w:afterAutospacing="1"/>
    </w:pPr>
    <w:rPr>
      <w:rFonts w:ascii="Times New Roman" w:eastAsia="Times New Roman" w:hAnsi="Times New Roman" w:cs="Times New Roman"/>
      <w:lang w:eastAsia="de-DE"/>
    </w:rPr>
  </w:style>
  <w:style w:type="character" w:styleId="Kommentarzeichen">
    <w:name w:val="annotation reference"/>
    <w:uiPriority w:val="99"/>
    <w:semiHidden/>
    <w:unhideWhenUsed/>
    <w:rsid w:val="004B50AA"/>
    <w:rPr>
      <w:sz w:val="16"/>
      <w:szCs w:val="16"/>
    </w:rPr>
  </w:style>
  <w:style w:type="paragraph" w:styleId="Kommentartext">
    <w:name w:val="annotation text"/>
    <w:basedOn w:val="Standard"/>
    <w:link w:val="KommentartextZchn"/>
    <w:uiPriority w:val="99"/>
    <w:semiHidden/>
    <w:unhideWhenUsed/>
    <w:rsid w:val="004B50AA"/>
    <w:rPr>
      <w:rFonts w:ascii="Calibri" w:eastAsia="Calibri" w:hAnsi="Calibri" w:cs="Times New Roman"/>
      <w:sz w:val="20"/>
      <w:szCs w:val="20"/>
      <w:lang w:eastAsia="en-US"/>
    </w:rPr>
  </w:style>
  <w:style w:type="character" w:customStyle="1" w:styleId="KommentartextZchn">
    <w:name w:val="Kommentartext Zchn"/>
    <w:basedOn w:val="Absatz-Standardschriftart"/>
    <w:link w:val="Kommentartext"/>
    <w:uiPriority w:val="99"/>
    <w:semiHidden/>
    <w:rsid w:val="004B50AA"/>
    <w:rPr>
      <w:rFonts w:ascii="Calibri" w:eastAsia="Calibri" w:hAnsi="Calibri" w:cs="Times New Roman"/>
      <w:sz w:val="20"/>
      <w:szCs w:val="20"/>
      <w:lang w:val="fr-FR" w:eastAsia="en-US"/>
    </w:rPr>
  </w:style>
  <w:style w:type="paragraph" w:styleId="Kommentarthema">
    <w:name w:val="annotation subject"/>
    <w:basedOn w:val="Kommentartext"/>
    <w:next w:val="Kommentartext"/>
    <w:link w:val="KommentarthemaZchn"/>
    <w:uiPriority w:val="99"/>
    <w:semiHidden/>
    <w:unhideWhenUsed/>
    <w:rsid w:val="004B50AA"/>
    <w:rPr>
      <w:b/>
      <w:bCs/>
    </w:rPr>
  </w:style>
  <w:style w:type="character" w:customStyle="1" w:styleId="KommentarthemaZchn">
    <w:name w:val="Kommentarthema Zchn"/>
    <w:basedOn w:val="KommentartextZchn"/>
    <w:link w:val="Kommentarthema"/>
    <w:uiPriority w:val="99"/>
    <w:semiHidden/>
    <w:rsid w:val="004B50AA"/>
    <w:rPr>
      <w:rFonts w:ascii="Calibri" w:eastAsia="Calibri" w:hAnsi="Calibri" w:cs="Times New Roman"/>
      <w:b/>
      <w:bCs/>
      <w:sz w:val="20"/>
      <w:szCs w:val="20"/>
      <w:lang w:val="fr-FR" w:eastAsia="en-US"/>
    </w:rPr>
  </w:style>
  <w:style w:type="paragraph" w:styleId="berarbeitung">
    <w:name w:val="Revision"/>
    <w:hidden/>
    <w:uiPriority w:val="71"/>
    <w:rsid w:val="004B50AA"/>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ref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5005</Words>
  <Characters>31535</Characters>
  <Application>Microsoft Office Word</Application>
  <DocSecurity>0</DocSecurity>
  <Lines>262</Lines>
  <Paragraphs>72</Paragraphs>
  <ScaleCrop>false</ScaleCrop>
  <Company>XXL Communication</Company>
  <LinksUpToDate>false</LinksUpToDate>
  <CharactersWithSpaces>36468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F. LORRE</dc:creator>
  <cp:keywords/>
  <dc:description/>
  <cp:lastModifiedBy>Klaus Fabian</cp:lastModifiedBy>
  <cp:revision>96</cp:revision>
  <dcterms:created xsi:type="dcterms:W3CDTF">2018-07-07T12:26:00Z</dcterms:created>
  <dcterms:modified xsi:type="dcterms:W3CDTF">2018-07-23T11:46:00Z</dcterms:modified>
</cp:coreProperties>
</file>