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E06D6" w14:textId="395E8B8D" w:rsidR="004B50AA" w:rsidRDefault="004B50AA" w:rsidP="00C67253">
      <w:pPr>
        <w:pStyle w:val="Normal"/>
        <w:tabs>
          <w:tab w:val="left" w:pos="4025"/>
          <w:tab w:val="left" w:pos="10206"/>
          <w:tab w:val="left" w:pos="11340"/>
          <w:tab w:val="left" w:pos="12474"/>
          <w:tab w:val="left" w:pos="13608"/>
          <w:tab w:val="left" w:pos="14742"/>
          <w:tab w:val="left" w:pos="15876"/>
        </w:tabs>
        <w:ind w:right="1870"/>
        <w:rPr>
          <w:b/>
          <w:bCs/>
          <w:sz w:val="28"/>
          <w:szCs w:val="28"/>
        </w:rPr>
      </w:pPr>
      <w:bookmarkStart w:id="0" w:name="_GoBack"/>
      <w:bookmarkEnd w:id="0"/>
      <w:r>
        <w:rPr>
          <w:b/>
          <w:bCs/>
          <w:sz w:val="28"/>
          <w:szCs w:val="28"/>
        </w:rPr>
        <w:t>Textes pour appels d’offres</w:t>
      </w:r>
    </w:p>
    <w:p w14:paraId="7D58EC8C" w14:textId="77777777" w:rsidR="004B50AA" w:rsidRDefault="004B50AA" w:rsidP="00C67253">
      <w:pPr>
        <w:pStyle w:val="Normal"/>
        <w:tabs>
          <w:tab w:val="left" w:pos="4025"/>
          <w:tab w:val="left" w:pos="10206"/>
          <w:tab w:val="left" w:pos="11340"/>
          <w:tab w:val="left" w:pos="12474"/>
          <w:tab w:val="left" w:pos="13608"/>
          <w:tab w:val="left" w:pos="14742"/>
          <w:tab w:val="left" w:pos="15876"/>
        </w:tabs>
        <w:ind w:right="1870"/>
        <w:rPr>
          <w:sz w:val="22"/>
          <w:szCs w:val="22"/>
        </w:rPr>
      </w:pPr>
      <w:r>
        <w:rPr>
          <w:sz w:val="20"/>
          <w:szCs w:val="20"/>
        </w:rPr>
        <w:t>Toitures et façades PREFA 2018-06</w:t>
      </w:r>
    </w:p>
    <w:p w14:paraId="5777A886" w14:textId="77777777" w:rsidR="00C67253" w:rsidRDefault="00C67253" w:rsidP="00C67253">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24890BA7"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LV 01 Toitures PREFA</w:t>
      </w:r>
    </w:p>
    <w:p w14:paraId="3890B98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329F178" w14:textId="08C31DD6"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Titre 01.07 Joint debout à double agrafe en bande d’aluminium Prefalz</w:t>
      </w:r>
    </w:p>
    <w:p w14:paraId="1B214D6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7A2525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93D8DC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REMARQUES PRÉLIMINAIRES GÉNÉRALES</w:t>
      </w:r>
    </w:p>
    <w:p w14:paraId="2973D6CB"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b/>
          <w:bCs/>
          <w:sz w:val="20"/>
          <w:szCs w:val="20"/>
        </w:rPr>
      </w:pPr>
      <w:r>
        <w:rPr>
          <w:rFonts w:ascii="Arial" w:hAnsi="Arial"/>
          <w:b/>
          <w:bCs/>
          <w:sz w:val="20"/>
          <w:szCs w:val="20"/>
        </w:rPr>
        <w:t>Auteur :</w:t>
      </w:r>
    </w:p>
    <w:p w14:paraId="5C03EDA1"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1DC0290F"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szCs w:val="20"/>
        </w:rPr>
      </w:pPr>
      <w:r>
        <w:rPr>
          <w:rFonts w:ascii="Arial" w:hAnsi="Arial"/>
          <w:sz w:val="20"/>
          <w:szCs w:val="20"/>
        </w:rPr>
        <w:t>PREFA Aluminiumprodukte GmbH</w:t>
      </w:r>
    </w:p>
    <w:p w14:paraId="6FF3E9AE"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rPr>
      </w:pPr>
      <w:r>
        <w:rPr>
          <w:rFonts w:ascii="Arial" w:hAnsi="Arial"/>
          <w:sz w:val="20"/>
          <w:szCs w:val="20"/>
        </w:rPr>
        <w:t>3182 Marktl/Lilienfeld</w:t>
      </w:r>
    </w:p>
    <w:p w14:paraId="7B58B21E"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14B6171F" w14:textId="77777777" w:rsidR="004B50AA" w:rsidRPr="00423B1F"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sz w:val="20"/>
          <w:szCs w:val="20"/>
        </w:rPr>
      </w:pPr>
      <w:r>
        <w:rPr>
          <w:rFonts w:ascii="Arial" w:hAnsi="Arial"/>
          <w:sz w:val="20"/>
          <w:szCs w:val="20"/>
        </w:rPr>
        <w:t>Dernière modification : le 13/07/2017</w:t>
      </w:r>
    </w:p>
    <w:p w14:paraId="28A1BB3B"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Les prestations décrites doivent être exécutées en conformité avec les instructions de pose et de montage de PREFA Aluminiumprodukte GmbH, ainsi qu’avec les réglementations, règles professionnelles et normes nationales en vigueur.</w:t>
      </w:r>
    </w:p>
    <w:p w14:paraId="5F989E66"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7D019255"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 cahier des charges ci-après a été établi sur la base des documents suivants :</w:t>
      </w:r>
    </w:p>
    <w:p w14:paraId="4057BA92"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009D37E7"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2A76499F"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16F33527"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0B4AD6BA"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511C4638"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44BEADB8"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621B460E" w14:textId="58D121E7" w:rsidR="004B50AA" w:rsidRPr="00423B1F"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Le présent cahier des charges s’appuie sur les plans mis à notre disposition tout en respectant les règles techniques générales actuellement en vigueur. Le soumissionnaire se doit d’examiner la faisabilité de chaque point du cahier des charges. Les quantités indiquées doivent être vérifiées sur le chantier et éventuellement modifiées.</w:t>
      </w:r>
    </w:p>
    <w:p w14:paraId="4B5B7B99" w14:textId="77777777" w:rsidR="004B50AA" w:rsidRPr="00423B1F"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Pour chaque point concerné, les chutes de matériau, les pertes de longueur au niveau des joints, tout comme le petit matériel et le matériel de fixation doivent être intégrés dans les calculs. La facturation s’effectue sur la base des mesures prises sur le site de la construction.</w:t>
      </w:r>
    </w:p>
    <w:p w14:paraId="0FA187BC" w14:textId="77777777" w:rsidR="004B50AA" w:rsidRPr="00423B1F"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Il est fortement conseillé de visiter le site avant de soumettre toute offre.</w:t>
      </w:r>
    </w:p>
    <w:p w14:paraId="42E0E108"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Cet appel d’offres ne comprend ni les échafaudages de travail, de façade et de sécurité, ni les éventuelles fermetures de voies de circulation et autorisations officielles, ni les systèmes parafoudre, annexes, balcons et avant-toits. Les études statiques et les prestations touchant à la physique du bâtiment sont à la charge du concepteur.</w:t>
      </w:r>
    </w:p>
    <w:p w14:paraId="4825D06A"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6DB94A8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La société PREFA Aluminiumprodukte GmbH ne se porte garante ni de l’exhaustivité des informations fournies aux différents points du cahier des charges pour la réalisation des prestations décrites, ni de l’exactitude des dimensions indiquées à chacun de ces points. Le concepteur est tenu de vérifier l’exactitude de toutes les indications et données et, le cas échéant, de les adapter. Ce document est mis à la disposition du concepteur (architecte ou autres) afin de l’aider à élaborer son appel d’offres et doit être considéré comme une simple prestation de conseil.</w:t>
      </w:r>
    </w:p>
    <w:p w14:paraId="786DC71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67C468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8AA7C4B" w14:textId="30A766B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01.07.1 Couche de séparation (isolation phonique et résistance accrue à la pénétration d’eau)</w:t>
      </w:r>
    </w:p>
    <w:p w14:paraId="0F6EF528" w14:textId="77777777" w:rsidR="004B50AA" w:rsidRPr="003C6144" w:rsidRDefault="004B50AA" w:rsidP="00C67253">
      <w:pPr>
        <w:widowControl w:val="0"/>
        <w:tabs>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lé de sous-couverture en bitume polymère avec joints autoadhésifs ; le lé de sous-couverture assure une fonction d’isolation phonique et, lorsque la situation l’exige, de résistance accrue à la pénétration d’eau. Respecter les instructions du fabricant.</w:t>
      </w:r>
    </w:p>
    <w:p w14:paraId="2EBFC3F1" w14:textId="77777777" w:rsidR="004B50AA" w:rsidRPr="003C6144" w:rsidRDefault="004B50AA" w:rsidP="00C67253">
      <w:pPr>
        <w:widowControl w:val="0"/>
        <w:tabs>
          <w:tab w:val="left" w:pos="11340"/>
          <w:tab w:val="left" w:pos="13608"/>
          <w:tab w:val="left" w:pos="15876"/>
        </w:tabs>
        <w:autoSpaceDE w:val="0"/>
        <w:autoSpaceDN w:val="0"/>
        <w:adjustRightInd w:val="0"/>
        <w:ind w:right="1870"/>
        <w:rPr>
          <w:rFonts w:ascii="Arial" w:hAnsi="Arial" w:cs="Arial"/>
          <w:sz w:val="20"/>
          <w:lang w:val="x-none" w:eastAsia="x-none"/>
        </w:rPr>
      </w:pPr>
    </w:p>
    <w:p w14:paraId="0DCCC82D" w14:textId="77777777" w:rsidR="00C67253" w:rsidRDefault="004B50AA" w:rsidP="00C67253">
      <w:pPr>
        <w:widowControl w:val="0"/>
        <w:tabs>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Produit proposé : ……</w:t>
      </w:r>
    </w:p>
    <w:p w14:paraId="04280EB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FCA187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71962B9"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03ED36B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E58C65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EBE2330" w14:textId="54775B0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01.07.2 Couche de séparation (au moins 0,9 mm)</w:t>
      </w:r>
    </w:p>
    <w:p w14:paraId="0F58E6F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lé de sous-couverture en bitume polymère avec joints autoadhésifs (couche de séparation). Les propriétés de la couche de séparation seront fonction des exigences posées. Respecter les instructions du fabricant.</w:t>
      </w:r>
    </w:p>
    <w:p w14:paraId="60A2702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2B60FE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Produit proposé : ……</w:t>
      </w:r>
    </w:p>
    <w:p w14:paraId="2D8D6C3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57E06AD"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6ED2DC4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A58BFC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9C1C2B5" w14:textId="36B23603"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lastRenderedPageBreak/>
        <w:t>01.07.3 Couverture de toit réalisée à partir de bandes d’aluminium coloré Prefalz</w:t>
      </w:r>
    </w:p>
    <w:p w14:paraId="095760F0" w14:textId="3F0E26DD" w:rsidR="00C67253" w:rsidRDefault="0076166F"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Livraison et pose d’une couverture de toit en aluminium inoxydable réalisée à partir de bandes d’aluminium coloré Prefalz ; comprend le matériel de fixation PREFA (fixation invisible au moyen de pattes fixes ou de pattes coulissantes et de clous annelés inox) ; pose réalisée sur voligeage intégral (épaisseur minimum : 24 mm). Le type et le nombre des fixations sont fonction des exigences spécifiques posées par chaque bâtiment et sont définis sur la base des calculs statiques effectués.</w:t>
      </w:r>
    </w:p>
    <w:p w14:paraId="782EA017" w14:textId="77777777" w:rsidR="00C6725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Les bords ne seront pas repliés vers le haut à 90° de chaque côté ; l’un des bords sera légèrement incliné de manière à ménager un espace de dilatation au niveau de la surface d’appui des bacs.</w:t>
      </w:r>
    </w:p>
    <w:p w14:paraId="2FC08872"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Respecter les directives de pose PREFA.</w:t>
      </w:r>
    </w:p>
    <w:p w14:paraId="083F3B15"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7CCA5AE9" w14:textId="77777777" w:rsidR="004B50AA" w:rsidRPr="00423B1F"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Joint debout :</w:t>
      </w:r>
    </w:p>
    <w:p w14:paraId="7A0E8504" w14:textId="77777777"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Pente de toit minimum : &gt; 45°</w:t>
      </w:r>
    </w:p>
    <w:p w14:paraId="1A11EBB5" w14:textId="77777777"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Joint angulaire :</w:t>
      </w:r>
    </w:p>
    <w:p w14:paraId="3C8C3EF8" w14:textId="2372E0C3"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Pente de toit minimum : 25° (régions soumises à des conditions météorologiques normales) ; 35° (régions à fort enneigement)</w:t>
      </w:r>
    </w:p>
    <w:p w14:paraId="6B587D1E"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3CC4DD9C" w14:textId="77777777" w:rsidR="004B50AA" w:rsidRPr="00423B1F"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Joint debout à double agrafe :</w:t>
      </w:r>
    </w:p>
    <w:p w14:paraId="6776914C" w14:textId="77777777"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Pente de toit minimum : 3°</w:t>
      </w:r>
    </w:p>
    <w:p w14:paraId="4AB0F277" w14:textId="2F4F2BBD" w:rsidR="004B50AA" w:rsidRPr="003C6144" w:rsidRDefault="001526CE" w:rsidP="00C67253">
      <w:pPr>
        <w:widowControl w:val="0"/>
        <w:autoSpaceDE w:val="0"/>
        <w:autoSpaceDN w:val="0"/>
        <w:adjustRightInd w:val="0"/>
        <w:ind w:right="1870"/>
        <w:rPr>
          <w:rFonts w:ascii="Arial" w:hAnsi="Arial" w:cs="Arial"/>
          <w:sz w:val="20"/>
        </w:rPr>
      </w:pPr>
      <w:r>
        <w:rPr>
          <w:rFonts w:ascii="Arial" w:hAnsi="Arial"/>
          <w:sz w:val="20"/>
          <w:szCs w:val="20"/>
        </w:rPr>
        <w:t>&lt; 7° : avec bande d’étanchéité ou gel d’étanchéité pour agrafe</w:t>
      </w:r>
    </w:p>
    <w:p w14:paraId="0152A19E"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5A0ECA77" w14:textId="77777777" w:rsidR="004B50AA" w:rsidRPr="00423B1F"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Couverture standard : joint debout à double agrafe</w:t>
      </w:r>
    </w:p>
    <w:p w14:paraId="047A2D8C" w14:textId="74A9B958" w:rsidR="004B50AA" w:rsidRPr="00423B1F"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Largeur de bande : 650 mm / 500 mm</w:t>
      </w:r>
    </w:p>
    <w:p w14:paraId="5E320B88" w14:textId="45C20C10"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Entraxe : 580 mm / 430 mm</w:t>
      </w:r>
    </w:p>
    <w:p w14:paraId="40F138AC" w14:textId="14F7A653"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Largeur des bacs : 570 mm / 420 mm</w:t>
      </w:r>
    </w:p>
    <w:p w14:paraId="0117F747" w14:textId="578B9BB9"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Largeur de bande : …………… mm</w:t>
      </w:r>
    </w:p>
    <w:p w14:paraId="0F761BA3"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410F0293" w14:textId="74DA134D" w:rsidR="004B50AA" w:rsidRPr="00423B1F"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77E295E2" w14:textId="0D5E8D4F"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Poids : 2,3 kg/m² (500 mm) / 2,2 kg/m² (650 mm)</w:t>
      </w:r>
    </w:p>
    <w:p w14:paraId="4A9CE467" w14:textId="77777777"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Matériau : aluminium (entièrement recyclable)</w:t>
      </w:r>
    </w:p>
    <w:p w14:paraId="7FF3336F" w14:textId="77777777"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Alliage : EN AW-3005 conformément à la norme EN 573-3</w:t>
      </w:r>
    </w:p>
    <w:p w14:paraId="3009185F" w14:textId="5243992C" w:rsidR="004B50AA" w:rsidRPr="00423B1F" w:rsidRDefault="009672E3"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État métallurgique : H41</w:t>
      </w:r>
    </w:p>
    <w:p w14:paraId="67F8AF7A" w14:textId="77777777" w:rsidR="004B50AA" w:rsidRPr="00423B1F" w:rsidRDefault="004B50AA" w:rsidP="00C67253">
      <w:pPr>
        <w:widowControl w:val="0"/>
        <w:autoSpaceDE w:val="0"/>
        <w:autoSpaceDN w:val="0"/>
        <w:adjustRightInd w:val="0"/>
        <w:ind w:right="1870"/>
        <w:rPr>
          <w:rFonts w:ascii="Arial" w:hAnsi="Arial" w:cs="Arial"/>
          <w:color w:val="009A00"/>
          <w:sz w:val="20"/>
          <w:szCs w:val="20"/>
        </w:rPr>
      </w:pPr>
      <w:r>
        <w:rPr>
          <w:rFonts w:ascii="Arial" w:hAnsi="Arial"/>
          <w:sz w:val="20"/>
          <w:szCs w:val="20"/>
        </w:rPr>
        <w:t>Face avant : revêtement à chaud P.10 ou PP99</w:t>
      </w:r>
    </w:p>
    <w:p w14:paraId="4A70D9A6" w14:textId="77777777" w:rsidR="004B50AA" w:rsidRPr="00423B1F"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Couleur : ……</w:t>
      </w:r>
    </w:p>
    <w:p w14:paraId="665A9895" w14:textId="77777777"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(couleur standard ; cf. nuancier PREFA)</w:t>
      </w:r>
    </w:p>
    <w:p w14:paraId="3C9C7FD2" w14:textId="77777777" w:rsidR="00C6725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face arrière : vernis de protection</w:t>
      </w:r>
    </w:p>
    <w:p w14:paraId="5AE06026" w14:textId="77777777" w:rsidR="004B50AA" w:rsidRPr="00423B1F"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Finition : stucco ou lisse</w:t>
      </w:r>
    </w:p>
    <w:p w14:paraId="6CD568DE" w14:textId="45E60C03" w:rsidR="004B50AA" w:rsidRPr="00423B1F"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Classe de réaction au feu : A1 conformément à la norme EN 13501-1</w:t>
      </w:r>
    </w:p>
    <w:p w14:paraId="52250F66" w14:textId="77777777" w:rsidR="004B50AA" w:rsidRPr="00423B1F"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Performance au feu extérieur : sans réalisation de test conformément à la norme EN 13501-5 et à la décision de la Commission européenne 2000/553/EG</w:t>
      </w:r>
    </w:p>
    <w:p w14:paraId="72CC948B" w14:textId="11730ABB" w:rsidR="004B50AA" w:rsidRPr="00423B1F"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Déclaration environnementale de produit selon ISO 14025 et EN 15804 : EPD-GDA-20130260-IBG1-DE</w:t>
      </w:r>
    </w:p>
    <w:p w14:paraId="2D6B8631" w14:textId="6C4FC46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Durée de vie de référence conformément à la déclaration environnementale de produit : ≥ 70 ans</w:t>
      </w:r>
    </w:p>
    <w:p w14:paraId="1107DCA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5A86D6C"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597AAD0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24C31C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01E18B3" w14:textId="3728A8DA"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01.07.4 Bande de départ réalisée à partir de bandes complémentaires</w:t>
      </w:r>
    </w:p>
    <w:p w14:paraId="2DA6657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départ réalisées à partir de bandes complémentaires ; matériel de fixation compris.</w:t>
      </w:r>
    </w:p>
    <w:p w14:paraId="638F694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FC6F44F" w14:textId="19451636"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au moins 1,0 mm</w:t>
      </w:r>
    </w:p>
    <w:p w14:paraId="5E97258F" w14:textId="4A5EEDD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jusqu’à 333 mm</w:t>
      </w:r>
    </w:p>
    <w:p w14:paraId="6788B4E4" w14:textId="58DC35A0"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jusqu’à 5 pc.</w:t>
      </w:r>
    </w:p>
    <w:p w14:paraId="029075C9"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lastRenderedPageBreak/>
        <w:t>Couleur : identique au produit principal</w:t>
      </w:r>
    </w:p>
    <w:p w14:paraId="7B03432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7345D0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EE0C981"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09F210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3C3924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0CF0A6E" w14:textId="64AE81F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01.07.5 Supplément appliqué au produit principal pour bacs de 330 mm</w:t>
      </w:r>
    </w:p>
    <w:p w14:paraId="21CFDBA1"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Supplément pour les bacs Prefalz de moindre largeur employés pour la mise en œuvre des rives.</w:t>
      </w:r>
    </w:p>
    <w:p w14:paraId="3E2975C6"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797FA71" w14:textId="437BE32D"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Largeur de bande : 330 mm</w:t>
      </w:r>
    </w:p>
    <w:p w14:paraId="7C6FAA8C" w14:textId="29569958"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Entraxe : 260 mm</w:t>
      </w:r>
    </w:p>
    <w:p w14:paraId="62EEB378" w14:textId="5A0A4978"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Largeur des bacs : 250 mm</w:t>
      </w:r>
    </w:p>
    <w:p w14:paraId="7A67F11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099BC4E"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24D9BD0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034797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824FF73" w14:textId="670B55B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01.07.6 Supplément appliqué au produit principal pour pattes longues coulissantes</w:t>
      </w:r>
    </w:p>
    <w:p w14:paraId="0E688A8A" w14:textId="4DE677F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Supplément pour la mise en œuvre utilisant des pattes longues coulissantes PREFA ; longueur des bacs : jusqu’à 15 m ; largeur de bande max. : 500 mm. Lors de l’utilisation de pattes longues coulissantes, il faut toujours en recouvrir la totalité de la surface de la toiture.</w:t>
      </w:r>
    </w:p>
    <w:p w14:paraId="5B97869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F13C42B"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145999F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C7535C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79C2BD1" w14:textId="401C800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01.07.7 Supplément appliqué au produit principal pour bacs arrondis</w:t>
      </w:r>
    </w:p>
    <w:p w14:paraId="4D49D0A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Supplément pour la fabrication et la mise en œuvre de bacs arrondis.</w:t>
      </w:r>
    </w:p>
    <w:p w14:paraId="23D7A8A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36E2221" w14:textId="6EE73FF3"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Rayon : concave, … mm</w:t>
      </w:r>
    </w:p>
    <w:p w14:paraId="53201172" w14:textId="1F9D3C8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Rayon : convexe, … mm</w:t>
      </w:r>
    </w:p>
    <w:p w14:paraId="104A2AD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85B4212"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002619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666A86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B5793B9" w14:textId="7656CFF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01.07.8 Supplément appliqué au produit principal pour bacs trapézoïdaux</w:t>
      </w:r>
    </w:p>
    <w:p w14:paraId="39CACFF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Supplément pour la fabrication et la mise en œuvre de bacs trapézoïdaux.</w:t>
      </w:r>
    </w:p>
    <w:p w14:paraId="3497F8B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52D45BE"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74D96BE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40C791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D8F60C4" w14:textId="716C3BD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01.07.9 Supplément appliqué au produit principal pour joints agrafés</w:t>
      </w:r>
    </w:p>
    <w:p w14:paraId="00803C7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Supplément pour la réalisation de joints agrafés sur les avant-toits.</w:t>
      </w:r>
    </w:p>
    <w:p w14:paraId="529D2F7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333FBCB"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C4F8C3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2C1E79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3DDDFF2" w14:textId="349FE8E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01.07.10 Supplément appliqué au produit principal pour l’étanchéification des joints</w:t>
      </w:r>
    </w:p>
    <w:p w14:paraId="51E5362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Supplément pour l’application d’un gel d’étanchéité pour agrafe ou la mise en place d’une bande d’étanchéité sur les joints situés sur des portions de toiture dont la pente est supérieure à 7°.</w:t>
      </w:r>
    </w:p>
    <w:p w14:paraId="615C8FC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7058670"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6A033DC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9667D0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BD80935" w14:textId="602BC91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01.07.11 Supplément appliqué au produit principal pour agrafe grisonne</w:t>
      </w:r>
    </w:p>
    <w:p w14:paraId="79E5F38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Supplément pour la réalisation d’une agrafe grisonne au niveau d’élément de construction verticaux ; rabat compris.</w:t>
      </w:r>
    </w:p>
    <w:p w14:paraId="05BD0BA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0754F73" w14:textId="14F7BC08"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Hauteur du retour : 150 mm</w:t>
      </w:r>
    </w:p>
    <w:p w14:paraId="1586FC99" w14:textId="0D37F50A" w:rsidR="00C67253" w:rsidRDefault="00683F90"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Entraxe : 580 mm (1,72 pc./m) ; 430 mm (2,33 pc./m)</w:t>
      </w:r>
    </w:p>
    <w:p w14:paraId="7695382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597D6FB"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lastRenderedPageBreak/>
        <w:t>0,000 m</w:t>
      </w:r>
      <w:r>
        <w:rPr>
          <w:rFonts w:ascii="Arial" w:hAnsi="Arial"/>
          <w:sz w:val="20"/>
          <w:szCs w:val="20"/>
        </w:rPr>
        <w:tab/>
        <w:t>PU _____________  PT _____________</w:t>
      </w:r>
    </w:p>
    <w:p w14:paraId="3D1F389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1CBF2A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8287756" w14:textId="4A91EF4A"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01.07.12 Supplément appliqué au produit principal — pour coupes obliques</w:t>
      </w:r>
    </w:p>
    <w:p w14:paraId="0376FE87" w14:textId="77777777" w:rsidR="004B50AA"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Supplément pour la réalisation de coupes obliques pour les éléments de toiture obliques (rives, avant-toits obliques).</w:t>
      </w:r>
    </w:p>
    <w:p w14:paraId="070F442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FB768F5"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A426D7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16DA4B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6554624" w14:textId="1A34F0E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01.07.13 Supplément appliqué à la bande de départ pour égout arrondi</w:t>
      </w:r>
    </w:p>
    <w:p w14:paraId="0070B35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Supplément pour la mise en œuvre d’un égout arrondi (composé de plusieurs segments).</w:t>
      </w:r>
    </w:p>
    <w:p w14:paraId="7E9DB9E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3F262FD"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4CC313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889ED3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E5F3592" w14:textId="1FE93EB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01.07.14 Solin de finition réalisé à partir de bandes complémentaires Prefalz</w:t>
      </w:r>
    </w:p>
    <w:p w14:paraId="3596F7E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solins de finition réalisés à partir de bandes complémentaires Prefalz ; matériel de fixation compris ; pliure trapézoïdale alignée sur la pente de la gouttière.</w:t>
      </w:r>
    </w:p>
    <w:p w14:paraId="7BB15F43"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EA08154" w14:textId="08D4EED9"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4E8E543F" w14:textId="506B5269"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 pc.</w:t>
      </w:r>
    </w:p>
    <w:p w14:paraId="4542E1D5"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31DE8644"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0D1A90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64E78F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B8271A5"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64E945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F9DBFC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1D3C80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01.07.15 Grille anti-insectes pour entrée et sortie d’air</w:t>
      </w:r>
    </w:p>
    <w:p w14:paraId="04AE9DED"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d’une grille anti-insectes avec perforations circulaires ; pour entrée et sortie d’air ; protection de la lame d’air contre les insectes et les oiseaux. Matériel de fixation compris.</w:t>
      </w:r>
    </w:p>
    <w:p w14:paraId="39ED4299"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E20B595" w14:textId="67B1E7BD"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125 mm</w:t>
      </w:r>
    </w:p>
    <w:p w14:paraId="27E2F257"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selon les besoins</w:t>
      </w:r>
    </w:p>
    <w:p w14:paraId="4877CBF2" w14:textId="49802633"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36D7E2AC" w14:textId="15A464F9"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131FBF92"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Matériau : aluminium</w:t>
      </w:r>
    </w:p>
    <w:p w14:paraId="44050AC5" w14:textId="645D5355"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 xml:space="preserve">Perforations circulaires : </w:t>
      </w:r>
      <w:r>
        <w:rPr>
          <w:rFonts w:ascii="Menlo Regular" w:hAnsi="Menlo Regular"/>
          <w:sz w:val="20"/>
          <w:szCs w:val="20"/>
        </w:rPr>
        <w:t>⌀</w:t>
      </w:r>
      <w:r>
        <w:rPr>
          <w:rFonts w:ascii="Arial" w:hAnsi="Arial"/>
          <w:sz w:val="20"/>
          <w:szCs w:val="20"/>
        </w:rPr>
        <w:t xml:space="preserve"> 5 mm</w:t>
      </w:r>
    </w:p>
    <w:p w14:paraId="107B136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CA3A56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D0DB54B"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1F0B34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A1B352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0D35BD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01.07.16 Noue de sécurité (réalisée en usine)</w:t>
      </w:r>
    </w:p>
    <w:p w14:paraId="3776D079" w14:textId="409A502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noues de sécurité mises en œuvre avec un joint supplémentaire ; avec matériel de fixation et ajustage de tous les raccordements à la couverture PREFA (sur les deux côtés). Les éléments (max. 3 000 mm) doivent être assemblés de manière à permettre une dilatation suffisante.</w:t>
      </w:r>
    </w:p>
    <w:p w14:paraId="6428807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0D5D650" w14:textId="758BD481"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708 mm</w:t>
      </w:r>
    </w:p>
    <w:p w14:paraId="268B768F" w14:textId="429C7FE8"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8 pc.</w:t>
      </w:r>
    </w:p>
    <w:p w14:paraId="4F5007F8"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4C4E8707"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B9EF61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C54262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3477C01"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86D1F2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D5137D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FD82C0A" w14:textId="5525B220"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01.07.11 Mise en œuvre d’une noue réalisée à partir de bandes complémentaires Prefalz</w:t>
      </w:r>
    </w:p>
    <w:p w14:paraId="331E5BEB" w14:textId="33EF3098"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tôles de noue réalisées à partir de bandes complémentaires Prefalz ; avec matériel de fixation et ajustage de tous les raccordements à la couverture PREFA (sur les deux côtés). Les éléments (max. 3 000 mm) doivent être assemblés de manière à permettre une dilatation suffisante.</w:t>
      </w:r>
    </w:p>
    <w:p w14:paraId="2EB9098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BAE907A" w14:textId="78501F9D"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42E96067" w14:textId="2343E1A5"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0E241F38"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1ACE6BFB"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C113E5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C919EB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982D049"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A7D596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5DAEEC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B070A88" w14:textId="0F04F78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01.07.18 Mise en œuvre d’une noue encaissée réalisée à partir de bandes complémentaires Prefalz</w:t>
      </w:r>
    </w:p>
    <w:p w14:paraId="782BCCC2" w14:textId="5F58B748"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d’une noue encaissée (chéneau) mise en œuvre à partir de bandes complémentaires Prefalz ; noue posée sur la sous-construction surbaissée. Inclut le matériel de fixation et l’ajustage de tous les raccordements à la couverture PREFA (sur les deux côtés), ainsi que la pose d’un lé de sous-couverture offrant une protection supplémentaire contre les accumulations et retenues d’eau. Les éléments (max. 3 000 mm) doivent être assemblés de manière à permettre une dilatation suffisante.</w:t>
      </w:r>
    </w:p>
    <w:p w14:paraId="435B280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B1AC68C" w14:textId="79A31017" w:rsidR="004B50AA"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6D3F98F6" w14:textId="347403B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jusqu’à 5 pc.</w:t>
      </w:r>
    </w:p>
    <w:p w14:paraId="3BDC06BC"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02FB2D65"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909400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2EA193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9D57D0A"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E2AB57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77F442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86599E7" w14:textId="778F16D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01.07.19 Mise en œuvre d’une noue (noues arrondies)</w:t>
      </w:r>
    </w:p>
    <w:p w14:paraId="5CCE0CAE" w14:textId="5D24758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d’une noue arrondie en écailles mise en œuvre à partir de bandes complémentaires Prefalz (pour lucarnes arrondies). Les éléments (max. 3 000 mm) doivent être assemblés de manière à permettre une dilatation suffisante. Inclut le matériel de fixation ainsi que l’ajustage de tous les raccordements à la couverture PREFA (sur les deux côtés).</w:t>
      </w:r>
    </w:p>
    <w:p w14:paraId="67C9604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37F614E" w14:textId="7E0847AE"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Largeur de la lucarne : … mm</w:t>
      </w:r>
    </w:p>
    <w:p w14:paraId="38C4BB30" w14:textId="4FDA50F1"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Flèche : … mm</w:t>
      </w:r>
    </w:p>
    <w:p w14:paraId="6E4DEFB6"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 principale du toit : …°</w:t>
      </w:r>
    </w:p>
    <w:p w14:paraId="3EF1F9B3"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6405271C"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4BA4A4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9BFFE8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5944322"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3E02AC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9D5A2F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3DA41BD" w14:textId="35A76F5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01.07.20 Raccordement de couloir latéral</w:t>
      </w:r>
    </w:p>
    <w:p w14:paraId="2718BF3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de raccordements de couloirs latéraux (avec bord relevé) ; matériel de fixation compris.</w:t>
      </w:r>
    </w:p>
    <w:p w14:paraId="7B6D36E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7DF975B"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7BE3F5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8900EA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98EB252" w14:textId="7867829A"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01.07.21 Ressaut (non ventilé)</w:t>
      </w:r>
    </w:p>
    <w:p w14:paraId="725BE095"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Mise en œuvre d’un ressaut avec agrafe grisonne, sans entrée d’air, afin de permettre l’expansion des bacs (pour absorber les effets des variations thermiques) ; pose réalisée sur la sous-construction existante.</w:t>
      </w:r>
    </w:p>
    <w:p w14:paraId="49C3AA7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Les bords supérieurs des bacs inférieurs sont à mettre en œuvre en utilisant des agrafes grisonnes (rabat inclus). Il faudra tenir compte de la bande de départ, de la mise en œuvre de l’égout ainsi que des raccordements aux arêtiers, aux noues, aux rives, aux murs, etc.</w:t>
      </w:r>
    </w:p>
    <w:p w14:paraId="726E83B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4BF2AEB"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4DE388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C2BBE5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5317F33" w14:textId="41C9F78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01.07.22 Ressaut (non ventilé) sur coyau</w:t>
      </w:r>
    </w:p>
    <w:p w14:paraId="26E98379"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Mise en œuvre d’un ressaut avec agrafe grisonne, sans entrée d’air, afin de permettre l’expansion des bacs (pour absorber les effets des variations thermiques) ; pose réalisée sur la sous-construction existante.</w:t>
      </w:r>
    </w:p>
    <w:p w14:paraId="6765786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Les bords supérieurs des bacs inférieurs sont à mettre en œuvre en utilisant des agrafes grisonnes (rabat inclus). Il faudra tenir compte de la bande de départ, de la mise en œuvre de l’égout ainsi que des raccordements aux arêtiers, aux noues, aux rives, aux murs, etc.</w:t>
      </w:r>
    </w:p>
    <w:p w14:paraId="3AC99B4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357D188"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B0E323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AA9195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43EACCC" w14:textId="13DE2D3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01.07.23 Mise en œuvre d’un ressaut (non ventilé)</w:t>
      </w:r>
    </w:p>
    <w:p w14:paraId="6377E7CC"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Mise en œuvre d’un ressaut avec agrafe grisonne, avec entrée d’air, afin de permettre l’expansion des bacs (pour absorber les effets des variations thermiques) ; pose réalisée sur la sous-construction existante.</w:t>
      </w:r>
    </w:p>
    <w:p w14:paraId="0A04673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Les bords supérieurs des bacs inférieurs sont à mettre en œuvre en utilisant des agrafes grisonnes (rabat inclus). Il faudra tenir compte de la bande de départ, de la mise en œuvre de l’égout, de la bande d’aluminium perforée ainsi que des raccordements aux arêtiers, aux noues, aux rives, aux murs, etc.</w:t>
      </w:r>
    </w:p>
    <w:p w14:paraId="65F83DE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F6AFAF0"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629C25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B119F3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E167E89" w14:textId="24154B2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01.07.24 Bande de rive réalisée à partir de bandes complémentaires Prefalz</w:t>
      </w:r>
    </w:p>
    <w:p w14:paraId="40014162" w14:textId="1B6E35B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rive réalisées à partir de bandes complémentaires Prefalz ; avec matériel de fixation et ajustage à la couverture PREFA. Les éléments (max. 3 000 mm) doivent être assemblés de manière à permettre une dilatation suffisante.</w:t>
      </w:r>
    </w:p>
    <w:p w14:paraId="0B3630E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8FFFC9E"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de rive :</w:t>
      </w:r>
    </w:p>
    <w:p w14:paraId="4F8B114A" w14:textId="1DB95DC6"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25232032" w14:textId="01C88E5E"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4F96EF9C" w14:textId="57BF649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0,70 mm</w:t>
      </w:r>
    </w:p>
    <w:p w14:paraId="6C731E8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766AEE8"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d’accrochage :</w:t>
      </w:r>
    </w:p>
    <w:p w14:paraId="5950C4FC" w14:textId="09125669"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0AA1D510" w14:textId="55D29C82"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7D776E4C" w14:textId="7E2751D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au moins 1,0 mm</w:t>
      </w:r>
    </w:p>
    <w:p w14:paraId="69CF4F3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120049E"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45E0E5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75923D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1C152E2"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095AF8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97A7DA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B33DD7D" w14:textId="1812AAB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01.07.25 Supplément pour la mise en œuvre d’une rive arrondie</w:t>
      </w:r>
    </w:p>
    <w:p w14:paraId="6FC4F27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Supplément pour la mise en œuvre d’une rive arrondie (composée de plusieurs segments).</w:t>
      </w:r>
    </w:p>
    <w:p w14:paraId="71972C0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F7FFB9A"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BE429A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B1F867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375B10A" w14:textId="7F40E7A3"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01.07.26 Mise en œuvre de faîtières et arêtiers réalisés à partir de bandes complémentaires Prefalz</w:t>
      </w:r>
    </w:p>
    <w:p w14:paraId="55157638"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d’une faîtière avec chemin de sortie d’air ; installée sur la sous-construction existante ; ventilée et réalisée à partir de bandes complémentaires Prefalz.</w:t>
      </w:r>
    </w:p>
    <w:p w14:paraId="336514EA"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Il faudra tenir compte des des raccordements aux arêtiers, aux noues, aux rives, aux murs, etc. ; les bords deux bacs latéraux sont à mettre en œuvre en utilisant des agrafes grisonnes (rabat inclus).</w:t>
      </w:r>
    </w:p>
    <w:p w14:paraId="47E0354A" w14:textId="22D7D95E" w:rsidR="004B50AA"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Les éléments (max. 3 000 mm) doivent être assemblés de manière à permettre une dilatation suffisante.</w:t>
      </w:r>
    </w:p>
    <w:p w14:paraId="7F69416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3FE1CDB"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Bandes d’accrochage (2 bandes)</w:t>
      </w:r>
    </w:p>
    <w:p w14:paraId="46A59F5A" w14:textId="0EBFAB22"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au moins 1,0 mm</w:t>
      </w:r>
    </w:p>
    <w:p w14:paraId="5ADF1676" w14:textId="3EC1015A"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jusqu’à 200 mm</w:t>
      </w:r>
    </w:p>
    <w:p w14:paraId="3B6D93BF" w14:textId="05CF0085"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Pliure : 2 pc.</w:t>
      </w:r>
    </w:p>
    <w:p w14:paraId="75C9C8E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92DEAF6"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Cache de protection :</w:t>
      </w:r>
    </w:p>
    <w:p w14:paraId="519BC87E" w14:textId="5FCE742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 mm</w:t>
      </w:r>
    </w:p>
    <w:p w14:paraId="60675D8B" w14:textId="6C818889"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jusqu’à 700 mm</w:t>
      </w:r>
    </w:p>
    <w:p w14:paraId="787C7A2E" w14:textId="32588490"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Pliure : jusqu’à 7 pc.</w:t>
      </w:r>
    </w:p>
    <w:p w14:paraId="5A682B0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946753E" w14:textId="3B049B19"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Bande d’aluminium perforée : perforations circulaires (</w:t>
      </w:r>
      <w:r>
        <w:rPr>
          <w:rFonts w:ascii="Arial" w:hAnsi="Arial"/>
          <w:sz w:val="20"/>
          <w:szCs w:val="20"/>
        </w:rPr>
        <w:t>⌀</w:t>
      </w:r>
      <w:r>
        <w:rPr>
          <w:sz w:val="20"/>
          <w:szCs w:val="20"/>
        </w:rPr>
        <w:t xml:space="preserve"> 5 mm)</w:t>
      </w:r>
    </w:p>
    <w:p w14:paraId="4F0CA7FC" w14:textId="49E52E1F"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 mm</w:t>
      </w:r>
    </w:p>
    <w:p w14:paraId="33954DEF" w14:textId="11EDE67A"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jusqu’à 250 mm</w:t>
      </w:r>
    </w:p>
    <w:p w14:paraId="01DB8612" w14:textId="6EEACEB3"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Pliure : jusqu’à 4 pc.</w:t>
      </w:r>
    </w:p>
    <w:p w14:paraId="5DB3158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A4D2C8B"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DB294D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7047C0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21711C7" w14:textId="31C5E53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01.07.27 Chemin de sortie d’air mural réalisé à partir de bandes complémentaires Prefalz (ventilé)</w:t>
      </w:r>
    </w:p>
    <w:p w14:paraId="5A11D516"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d’un chemin de sortie d’air mural ; installé sur la sous-construction existante ; réalisé à partir de bandes complémentaires Prefalz.</w:t>
      </w:r>
    </w:p>
    <w:p w14:paraId="7928860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color w:val="000000"/>
          <w:sz w:val="20"/>
          <w:szCs w:val="20"/>
        </w:rPr>
        <w:t xml:space="preserve">Il faudra tenir compte des raccordements aux arêtiers, aux noues, aux rives, aux murs, etc. </w:t>
      </w:r>
      <w:r>
        <w:rPr>
          <w:rFonts w:ascii="Arial" w:hAnsi="Arial"/>
          <w:sz w:val="20"/>
          <w:szCs w:val="20"/>
        </w:rPr>
        <w:t>Les bords supérieurs des bacs inférieurs sont à mettre en œuvre en utilisant des agrafes grisonnes (rabat inclus).</w:t>
      </w:r>
    </w:p>
    <w:p w14:paraId="22A9CC7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7161E63"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5698B366"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B273E6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identique au produit principal</w:t>
      </w:r>
    </w:p>
    <w:p w14:paraId="6B92A46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3BAD8B7"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d’accrochage :</w:t>
      </w:r>
    </w:p>
    <w:p w14:paraId="6218CCB4" w14:textId="5EC7AE78"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au moins 1 mm</w:t>
      </w:r>
    </w:p>
    <w:p w14:paraId="6C7208B4" w14:textId="354E4368"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jusqu’à 200 mm</w:t>
      </w:r>
    </w:p>
    <w:p w14:paraId="6DC4D022" w14:textId="04624D69"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Pliure : 2 pc.</w:t>
      </w:r>
    </w:p>
    <w:p w14:paraId="3271942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A4E4482"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Cache de protection :</w:t>
      </w:r>
    </w:p>
    <w:p w14:paraId="37A717FA" w14:textId="48BD7763"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 mm</w:t>
      </w:r>
    </w:p>
    <w:p w14:paraId="204FA91D" w14:textId="467680E8" w:rsidR="004B50AA" w:rsidRPr="00423B1F" w:rsidRDefault="00367873"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jusqu’à 500 mm</w:t>
      </w:r>
    </w:p>
    <w:p w14:paraId="2B178877" w14:textId="213FECDD"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Pliure : 4 pc.</w:t>
      </w:r>
    </w:p>
    <w:p w14:paraId="40DB094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DFFF702" w14:textId="10C1F23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Bande d’aluminium perforée : perforations circulaires (</w:t>
      </w:r>
      <w:r>
        <w:rPr>
          <w:rFonts w:ascii="Arial" w:hAnsi="Arial"/>
          <w:sz w:val="20"/>
          <w:szCs w:val="20"/>
        </w:rPr>
        <w:t>⌀</w:t>
      </w:r>
      <w:r>
        <w:rPr>
          <w:sz w:val="20"/>
          <w:szCs w:val="20"/>
        </w:rPr>
        <w:t xml:space="preserve"> 5 mm)</w:t>
      </w:r>
    </w:p>
    <w:p w14:paraId="4FB3D820" w14:textId="76F1C0D3"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 mm</w:t>
      </w:r>
    </w:p>
    <w:p w14:paraId="417719A5" w14:textId="35646BF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jusqu’à 150 mm</w:t>
      </w:r>
    </w:p>
    <w:p w14:paraId="111F9680" w14:textId="28C85D6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Pliure : jusqu’à 2 pc.</w:t>
      </w:r>
    </w:p>
    <w:p w14:paraId="03DD71E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166CC95"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FC3560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3C84BF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61650FD" w14:textId="42DEBA4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01.07.28 Raccord de faîtage de toit monopente réalisé à partir de bandes complémentaires Prefalz</w:t>
      </w:r>
    </w:p>
    <w:p w14:paraId="512DDE17" w14:textId="4707217E"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raccords de faîtage de toit monopente réalisés à partir de bandes complémentaires Prefalz ; avec matériel de fixation et ajustage à la couverture PREFA. Les éléments (max. 3 000 mm) doivent être assemblés de manière à permettre une dilatation suffisante.</w:t>
      </w:r>
    </w:p>
    <w:p w14:paraId="67ADECA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65C8369"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762A0438"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4F0D79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identique au produit principal</w:t>
      </w:r>
    </w:p>
    <w:p w14:paraId="668AE65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9B44DF5"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de départ :</w:t>
      </w:r>
    </w:p>
    <w:p w14:paraId="151F977C" w14:textId="635C6631"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au moins 1,0 mm</w:t>
      </w:r>
    </w:p>
    <w:p w14:paraId="78031DAD" w14:textId="48D44322"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jusqu’à 200 mm</w:t>
      </w:r>
    </w:p>
    <w:p w14:paraId="2A966771" w14:textId="29D211F1"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Pliure : 4 pc.</w:t>
      </w:r>
    </w:p>
    <w:p w14:paraId="670B1B9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02F2D67"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Profil de recouvrement :</w:t>
      </w:r>
    </w:p>
    <w:p w14:paraId="1CED9A51" w14:textId="7C9063DD"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 mm</w:t>
      </w:r>
    </w:p>
    <w:p w14:paraId="6245DD5B" w14:textId="17D1A243"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jusqu’à 500 mm</w:t>
      </w:r>
    </w:p>
    <w:p w14:paraId="2D49D449" w14:textId="5820AF22"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Pliure : 6 pc.</w:t>
      </w:r>
    </w:p>
    <w:p w14:paraId="0461C16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5452778" w14:textId="2A558B9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Bande d’aluminium perforée : perforations circulaires (</w:t>
      </w:r>
      <w:r>
        <w:rPr>
          <w:rFonts w:ascii="Arial" w:hAnsi="Arial"/>
          <w:sz w:val="20"/>
          <w:szCs w:val="20"/>
        </w:rPr>
        <w:t>⌀</w:t>
      </w:r>
      <w:r>
        <w:rPr>
          <w:sz w:val="20"/>
          <w:szCs w:val="20"/>
        </w:rPr>
        <w:t xml:space="preserve"> 5 mm)</w:t>
      </w:r>
    </w:p>
    <w:p w14:paraId="3907F006" w14:textId="5052887D"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 mm</w:t>
      </w:r>
    </w:p>
    <w:p w14:paraId="008FF053" w14:textId="1DAE68BE"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150 mm</w:t>
      </w:r>
    </w:p>
    <w:p w14:paraId="15612737" w14:textId="77777777" w:rsidR="003B5CE5"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Pliure : 1 pc.</w:t>
      </w:r>
    </w:p>
    <w:p w14:paraId="70E0595C" w14:textId="360FC0B8"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9D12002"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6C5DF7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019CF6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936D56C" w14:textId="0184E91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01.07.29 Mise en œuvre de faîtières et arêtiers non ventilés (avec volige chanlattée)</w:t>
      </w:r>
    </w:p>
    <w:p w14:paraId="07A667C1" w14:textId="522C5A2A"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faîtières et arêtiers non ventilés avec volige chanlattée ; les bacs sont relevés sur les deux bords et forment un rabat ; avec emboîtement de la couverture d’arêtier.</w:t>
      </w:r>
    </w:p>
    <w:p w14:paraId="15E71096"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C740A2E" w14:textId="40686C3F"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6AB76FAF" w14:textId="718D2F70"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 pc.</w:t>
      </w:r>
    </w:p>
    <w:p w14:paraId="1A4478C6" w14:textId="7F9FF79C"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4FDA027F"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99E8F4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2ECCD5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18EAEB7"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9D1851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5EB785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5741877" w14:textId="1DA9315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01.07.30 Supplément pour la mise en œuvre de faîtières et arêtiers (faîtières arrondies)</w:t>
      </w:r>
    </w:p>
    <w:p w14:paraId="71DB60EC"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Supplément pour la mise en œuvre d’une faîtière arrondie (composée de plusieurs segments).</w:t>
      </w:r>
    </w:p>
    <w:p w14:paraId="082239D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410D8F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5609E53"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6A6B62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4A62A5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5B32C5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01.07.31 Chapeau de raccordement pour chatière</w:t>
      </w:r>
    </w:p>
    <w:p w14:paraId="45B8CC3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chapeaux de raccordement pour chatière pour permettre la ventilation de la lame d’air (entrée et sortie d’air) ; avec perforation et partie supérieure fabriquée par emboutissage. Installation par assemblage riveté ou collé, avec découpe des ouvertures requises dans la couverture et dans le voligeage.</w:t>
      </w:r>
    </w:p>
    <w:p w14:paraId="5D7E2B5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C50D97B" w14:textId="7296B4BB"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1,20 mm</w:t>
      </w:r>
    </w:p>
    <w:p w14:paraId="54B424B7"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DF162F0"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Section d’aération : env. 30 cm²</w:t>
      </w:r>
    </w:p>
    <w:p w14:paraId="506D5E9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ED292B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F521685"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4B36C91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FCCD92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0B3CC0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01.07.32 Raccordement de ventilation à coller pour toitures à joints debout</w:t>
      </w:r>
    </w:p>
    <w:p w14:paraId="4CA6924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raccordements de ventilation à coller PREFA pour les pénétrations de tuyaux ; inclut la découpe de l’ouverture dans le voligeage et la mise en œuvre dans la couverture PREFA au moyen du kit d’assemblage PREFA. Respecter les directives de pose PREFA.</w:t>
      </w:r>
    </w:p>
    <w:p w14:paraId="2D46FCB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75AF964"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 de toit : entre 3° et 52°</w:t>
      </w:r>
    </w:p>
    <w:p w14:paraId="181E282E"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7F81EB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64BE25B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DB8FCBF"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Pénétrations de tuyaux :</w:t>
      </w:r>
    </w:p>
    <w:p w14:paraId="6CC5187B" w14:textId="0CFE09F5"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diamètre compris entre 50 mm et 65 mm</w:t>
      </w:r>
    </w:p>
    <w:p w14:paraId="60491281" w14:textId="336710E9"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diamètre compris entre 80 mm et 120 mm</w:t>
      </w:r>
    </w:p>
    <w:p w14:paraId="6E57C763" w14:textId="2832A356"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diamètre compris entre 120 mm et 170 mm</w:t>
      </w:r>
    </w:p>
    <w:p w14:paraId="388909B7" w14:textId="6178B8F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sz w:val="20"/>
          <w:szCs w:val="20"/>
        </w:rPr>
        <w:t>diamètre compris entre 170 mm et 210 mm</w:t>
      </w:r>
    </w:p>
    <w:p w14:paraId="7C4688E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8FF9E9A"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41743DE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377BD7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3ABF29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01.07.33 Tuyau de ventilation</w:t>
      </w:r>
    </w:p>
    <w:p w14:paraId="36876B5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tuyaux de ventilation PREFA (fournis avec capuchon) ; comprend l’installation dans le raccordement de ventilation ainsi que l’étanchéification de la rosette. Respecter les directives de pose PREFA.</w:t>
      </w:r>
    </w:p>
    <w:p w14:paraId="042CED0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A8ED168" w14:textId="5806B62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Hauteur totale : 380 mm</w:t>
      </w:r>
    </w:p>
    <w:p w14:paraId="640459C5" w14:textId="2B804D0B"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Diamètre : 100 mm, 120 mm</w:t>
      </w:r>
    </w:p>
    <w:p w14:paraId="15F4D65A" w14:textId="65852D9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6CCFF0DE"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0585B0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8A7EDA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D544981"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594A01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1CDB3F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B7D29D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01.07.34 Soufflet plissé</w:t>
      </w:r>
    </w:p>
    <w:p w14:paraId="2BBB48F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soufflets plissés en EPDM à élasticité permanente pour l’assemblage de passages dans la sous-couverture. Respecter les directives de pose PREFA.</w:t>
      </w:r>
    </w:p>
    <w:p w14:paraId="4AEC05F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BAE0928" w14:textId="59CCF8D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Diamètre : entre 100 et 130 mm</w:t>
      </w:r>
    </w:p>
    <w:p w14:paraId="3EA22C5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E8C7D51"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EB0799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335AF1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D8AA3EC" w14:textId="6D9A636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01.07.35 Abergement de cheminée, de conduit de ventilation, de puits de lumière ou de fenêtre de toit</w:t>
      </w:r>
    </w:p>
    <w:p w14:paraId="7ABF9921" w14:textId="13D033D5"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d’abergements pour cheminées, conduits de ventilation, puits de lumière ou fenêtres de toit (sur les quatre côtés ; tôle relevée sur une hauteur d’environ 200 mm) ; avec installation et assemblage aux agrafures longitudinales et transversales.</w:t>
      </w:r>
    </w:p>
    <w:p w14:paraId="236285B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Pour les pénétrations dont la largeur est supérieure à 1,0 m, prévoir la mise en œuvre d’un coyau au niveau de l’abergement haut.</w:t>
      </w:r>
    </w:p>
    <w:p w14:paraId="15AFB72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1117968" w14:textId="6B46909B"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666B4D64" w14:textId="1A7FD6A2"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3D84E186"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DCCB69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1864BD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818A11E"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23E9DB3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D8B5BE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511949" w14:textId="0572129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01.07.36 Abergement de cheminée, de conduit de ventilation, de puits de lumière ou de fenêtre de toit</w:t>
      </w:r>
    </w:p>
    <w:p w14:paraId="3043EF18" w14:textId="4F689005"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Livraison et pose d’abergements pour cheminées, conduits de ventilation, puits de lumière ou fenêtres de toit (sur les quatre côtés ; tôle relevée sur une hauteur d’environ 200 mm) ; avec installation et assemblage aux agrafures longitudinales et transversales.</w:t>
      </w:r>
    </w:p>
    <w:p w14:paraId="393842F0"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Pour les pénétrations dont la largeur est supérieure à 1,0 m, prévoir la mise en œuvre d’un coyau au niveau de l’abergement haut.</w:t>
      </w:r>
    </w:p>
    <w:p w14:paraId="3E6CB526"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B6E42FA"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000C584D"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4A42F9A" w14:textId="726E9E9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59C3188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C91357C"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9BD973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95FB3A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77D2713" w14:textId="1779853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01.07.37 Habillage de cheminée et de conduit de ventilation</w:t>
      </w:r>
    </w:p>
    <w:p w14:paraId="2750F05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d’habillages de cheminée et de conduits de ventilation ; habillages réalisés à partir de bandes complémentaires Prefalz. Fabrication des habillages (mise en œuvre par pliage) sur la base des mesures prises sur site (mesure prise jusqu’à la base de l’embranchement)</w:t>
      </w:r>
    </w:p>
    <w:p w14:paraId="6720739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30081F0"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2585B299"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5216C54" w14:textId="1BD2D606"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3E4596B3" w14:textId="206861C8"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 … mm</w:t>
      </w:r>
    </w:p>
    <w:p w14:paraId="0EB3361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C2F84ED"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60B26C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4DB805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3D7D14A" w14:textId="54891AA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01.07.38 Habillage de cheminée et de conduit de ventilation</w:t>
      </w:r>
    </w:p>
    <w:p w14:paraId="7984E07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d’habillages de cheminée et de conduits de ventilation ; habillages réalisés à partir de bandes complémentaires Prefalz. Fabrication des habillages (mise en œuvre par pliage) sur la base des mesures prises sur site (mesure prise jusqu’à la base de l’embranchement)</w:t>
      </w:r>
    </w:p>
    <w:p w14:paraId="79A52F1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10C8628"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68838FA9"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A2B2C26" w14:textId="30553E6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05497AE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EFCEC99"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780D8D0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AE7876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F434A9F" w14:textId="129B9230"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01.07.39 Chapeau de cheminée</w:t>
      </w:r>
    </w:p>
    <w:p w14:paraId="3392906D" w14:textId="77777777" w:rsidR="004B50AA"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Livraison et pose de chapeaux de cheminée réalisés à partir de bandes complémentaires Prefalz.</w:t>
      </w:r>
    </w:p>
    <w:p w14:paraId="18BB7733"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AD88B95" w14:textId="77777777" w:rsidR="004B50AA"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106FCBD7" w14:textId="77777777" w:rsidR="004B50AA"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BEBC28F" w14:textId="41C8D1A9" w:rsidR="004B50AA"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0E93BE6B"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4FCD9E0" w14:textId="7BD7733D" w:rsidR="004B50AA"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033F3966"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2B89BB6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Comprend la découpe, le sertissage et l’étanchéification des ouvertures.</w:t>
      </w:r>
    </w:p>
    <w:p w14:paraId="5DE7EF0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5C9093A"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2C73C65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08BFFD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5E3DDC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01.07.40 Chapeau de cheminée</w:t>
      </w:r>
    </w:p>
    <w:p w14:paraId="51C1394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chapeaux de cheminée PREFA , fournis avec les pieds et les vis en acier inoxydable.</w:t>
      </w:r>
    </w:p>
    <w:p w14:paraId="7CBEFB8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5C58194" w14:textId="558B1526"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2 mm</w:t>
      </w:r>
    </w:p>
    <w:p w14:paraId="4508E282"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w:t>
      </w:r>
    </w:p>
    <w:p w14:paraId="00E6639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2187E4A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55B04F3" w14:textId="4402352F"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Dimensions standard : 700 × 700 mm, 800 × 800 mm, 1 000 × 700 mm, 1 100 × 800 mm, 1 500 × 800 mm</w:t>
      </w:r>
    </w:p>
    <w:p w14:paraId="3FD9CB6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15D5762" w14:textId="73E7368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14EE151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CAB8F3D"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2CA2CB0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C53003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73D0F4F" w14:textId="4DF44D5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01.07.41 Bandes de Solin fixées par enduit de parement (solins)</w:t>
      </w:r>
    </w:p>
    <w:p w14:paraId="34E4B78E" w14:textId="45628C9D" w:rsidR="00E439CA" w:rsidRDefault="00E439C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Livraison et pose de bandes de solin fixées par enduit de parement (solins) et réalisées à partir de bandes complémentaires Prefalz.</w:t>
      </w:r>
    </w:p>
    <w:p w14:paraId="21376439"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50CA357" w14:textId="77777777" w:rsidR="004B50AA"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30E32922" w14:textId="77777777" w:rsidR="004B50AA"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5ADBFBE" w14:textId="0B0EC271" w:rsidR="004B50AA"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45A18CF4"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1A93791" w14:textId="2F4DBB5C" w:rsidR="004B50AA"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2C9AA342" w14:textId="77777777" w:rsidR="003B5CE5"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5 pc.</w:t>
      </w:r>
    </w:p>
    <w:p w14:paraId="40CE6235" w14:textId="4B2A30B0"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489A5BA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Comprend le matériel de fixation (fixation au moyen de chevilles si nécessaire) ainsi que l’étanchéification au moyen d’un mastic d’étanchéité à élasticité permanente, ainsi que la pose d’équerres de fixation dans le cas d’une isolation thermique extérieure (ITE).</w:t>
      </w:r>
    </w:p>
    <w:p w14:paraId="64BAEBA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1F0867E"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3647B8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0E37EF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289FDC1" w14:textId="66E589F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01.07.42 Bande de solin brevetée</w:t>
      </w:r>
    </w:p>
    <w:p w14:paraId="22D8A7E9" w14:textId="77777777" w:rsidR="004B50AA"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eastAsia="Times New Roman" w:hAnsi="Arial" w:cs="Arial"/>
          <w:sz w:val="20"/>
          <w:szCs w:val="20"/>
        </w:rPr>
      </w:pPr>
      <w:r>
        <w:rPr>
          <w:rFonts w:ascii="Arial" w:hAnsi="Arial"/>
          <w:sz w:val="20"/>
          <w:szCs w:val="20"/>
        </w:rPr>
        <w:t>Livraison et pose de bandes de solin brevetées réalisées à partir de bandes complémentaires Prefalz ; inclut le matériel de fixation (fixation au moyen de chevilles si nécessaire), l’étanchéification au moyen d’un mastic d’étanchéité à élasticité permanente, ainsi que la pose d’équerres de fixation dans le cas d’une isolation thermique extérieure (ITE).</w:t>
      </w:r>
    </w:p>
    <w:p w14:paraId="6CAE6477" w14:textId="77777777" w:rsidR="004B50AA" w:rsidRPr="003C6144"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lang w:val="x-none" w:eastAsia="x-none"/>
        </w:rPr>
      </w:pPr>
    </w:p>
    <w:p w14:paraId="79512CBA" w14:textId="71C56043" w:rsidR="004B50AA" w:rsidRPr="00423B1F"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Dimension de coupe : …… mm</w:t>
      </w:r>
    </w:p>
    <w:p w14:paraId="3A2DD362" w14:textId="701B0D9F" w:rsidR="004B50AA" w:rsidRPr="00423B1F"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Pliure : 5 pc.</w:t>
      </w:r>
    </w:p>
    <w:p w14:paraId="0B131B2A" w14:textId="08A6D5E7" w:rsidR="004B50AA" w:rsidRPr="00423B1F"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7705D573" w14:textId="77777777" w:rsidR="004B50AA" w:rsidRPr="00423B1F"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5DA89A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BDF7C4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7B04507"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054FA1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70AB79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133070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01.07.43 Ouvrant de tabatière</w:t>
      </w:r>
    </w:p>
    <w:p w14:paraId="5DA1A78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d’ouvrants de tabatière pour combles et combles non chauffés ; fournis avec ferrures, châssis en bois et double vitrage en PVC translucide. Comprend l’ajustage à la couverture PREFA, la découpe de l’ouverture dans le voligeage intégral, ainsi que la fixation du châssis en bois. Respecter les directives de pose PREFA.</w:t>
      </w:r>
    </w:p>
    <w:p w14:paraId="1DA5D0C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D46FBC4" w14:textId="607156CE"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600 × 600 mm (dimension intérieure)</w:t>
      </w:r>
    </w:p>
    <w:p w14:paraId="2735851E" w14:textId="33E08070" w:rsidR="004B50AA" w:rsidRPr="00423B1F" w:rsidRDefault="00B81007"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Pentes de toit supérieures à 12° ; pour les pentes de toit inférieures à 12°, utiliser un châssis en bois trapézoïdal afin de compenser l’insuffisance d’inclinaison.</w:t>
      </w:r>
    </w:p>
    <w:p w14:paraId="4B408D9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683B9F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681D462"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3DBD680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64D9A4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A23A029" w14:textId="5EDDD97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01.07.44 Habillage de façade</w:t>
      </w:r>
    </w:p>
    <w:p w14:paraId="13C3F1A1" w14:textId="3532A58A"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d’habillages de façade (pour les parties avant des bâtiments, les pignons et les lucarnes) ; comprend l’ajustage à la couverture PREFA ainsi que l’ensemble des solins et raccordements ; pour les joints angulaires Prefalz.</w:t>
      </w:r>
    </w:p>
    <w:p w14:paraId="5F1971D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E30784D"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54841B35"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B14963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FD2E31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85FBF8E"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7C44734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906D8E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BB4692" w14:textId="602688B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01.07.45 Couronnement d’acrotère réalisé à partir de bandes complémentaires Prefalz</w:t>
      </w:r>
    </w:p>
    <w:p w14:paraId="198F1B2B" w14:textId="1F121209"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couronnements d’acrotère réalisés à partir de bandes complémentaires Prefalz ; fournis avec bandes d’accrochage (sur les deux côtés) et matériel de fixation. Chaque élément sera découpé en respectant la dimension de coupe requise ; leur longueur ne devra toutefois pas excéder 3 000 mm.</w:t>
      </w:r>
    </w:p>
    <w:p w14:paraId="22120914"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28F3108B" w14:textId="5A74C310"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0FCE7AE4" w14:textId="206A0984" w:rsidR="00C67253"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 pc.</w:t>
      </w:r>
    </w:p>
    <w:p w14:paraId="7F4D40DC" w14:textId="68CDA06D"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51BE356D"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9147A0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719A39CE"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44A876D1"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Types de raccordement : joint debout, pli d’accrochage, coulisseau ou support en tôle ondulée.</w:t>
      </w:r>
    </w:p>
    <w:p w14:paraId="0DE307D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Détails techniques : ……</w:t>
      </w:r>
    </w:p>
    <w:p w14:paraId="59AFB93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5622A9B"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209672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DC7441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08D23E5" w14:textId="0B632D1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01.07.46 Supplément pour acrotère arrondi (segments)</w:t>
      </w:r>
    </w:p>
    <w:p w14:paraId="41A6B85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Supplément appliqué à l’acrotère pour la mise en œuvre d’un acrotère arrondi composé de plusieurs segments.</w:t>
      </w:r>
    </w:p>
    <w:p w14:paraId="33FBE67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1C5FD69"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397813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645975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6CBB575" w14:textId="429A0EE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01.07.47 Couvertine de bordure de toit angulaire réalisée à partir de bandes complémentaires Prefalz</w:t>
      </w:r>
    </w:p>
    <w:p w14:paraId="1FFCFC9B" w14:textId="5B45DBAE"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couvertines de bordures de toit angulaires réalisées à partir de bandes complémentaires Prefalz ; fournies avec bandes de départ et matériel de fixation. Chaque élément sera découpé en respectant la dimension de coupe requise ; leur longueur ne devra toutefois pas excéder 3 000 mm.</w:t>
      </w:r>
    </w:p>
    <w:p w14:paraId="47739B8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9216B7F" w14:textId="3B692EE9"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5225B37D"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0B639FC6" w14:textId="2D84E21B"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07F52ED9"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412EBF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4F4026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00C294A"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D98E4D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D9091C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E347E0B" w14:textId="2AFCB23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01.07.48 Bavette de corniches et bandeaux de façade réalisée à partir de bandes complémentaires Prefalz</w:t>
      </w:r>
    </w:p>
    <w:p w14:paraId="2ED43940" w14:textId="66496EAA"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bavettes de corniches et bandeaux de façade réalisées à partir de bandes complémentaires Prefalz ; fournies avec bandes de départ et matériel de fixation. Chaque élément sera découpé en respectant la dimension de coupe requise ; leur longueur ne devra toutefois pas excéder 3 000 mm.</w:t>
      </w:r>
    </w:p>
    <w:p w14:paraId="1EA50A25"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3C82E244" w14:textId="4DF9C7BD"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042F26B8"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 pc.</w:t>
      </w:r>
    </w:p>
    <w:p w14:paraId="1FED166B" w14:textId="32DB5630"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6581DBD6"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1DBA03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19D76E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0E671FA"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3AF4E4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75BA89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25F0FF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01.07.49 Système pare-neige PREFA pour bandes complémentaires Prefalz (1 trou de passage pour tubes pare-neige)</w:t>
      </w:r>
    </w:p>
    <w:p w14:paraId="33F4DE5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systèmes pare-neige pour couvertures de toit réalisées avec des bandes complémentaires Prefalz. Le nombre et la disposition des systèmes pare-neige est définie sur la base des calculs statiques effectués. Respecter les directives de pose PREFA.</w:t>
      </w:r>
    </w:p>
    <w:p w14:paraId="54024E0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77832A3"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Bride de maintien : bride simple (pour un tube pare-neige)</w:t>
      </w:r>
    </w:p>
    <w:p w14:paraId="593B9E16" w14:textId="6D7D4218"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 xml:space="preserve">Trou de passage : 28 mm </w:t>
      </w:r>
      <w:r>
        <w:rPr>
          <w:rFonts w:ascii="Arial" w:hAnsi="Arial"/>
          <w:sz w:val="20"/>
          <w:szCs w:val="20"/>
        </w:rPr>
        <w:t>⌀</w:t>
      </w:r>
      <w:r>
        <w:rPr>
          <w:sz w:val="20"/>
          <w:szCs w:val="20"/>
        </w:rPr>
        <w:t>, 1 pc.</w:t>
      </w:r>
    </w:p>
    <w:p w14:paraId="5F2C8A08" w14:textId="5072D111"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Manchon de raccordement : 28 mm (diamètre intérieur), 100 mm (longueur)</w:t>
      </w:r>
    </w:p>
    <w:p w14:paraId="4AB83F2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95BAABD"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w:t>
      </w:r>
    </w:p>
    <w:p w14:paraId="6CB1D9E4" w14:textId="77777777"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Alliage : AlMgSi0,5</w:t>
      </w:r>
    </w:p>
    <w:p w14:paraId="7E00F9B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06798F8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0839C4A"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40F747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FF49C5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61E1B4F" w14:textId="438CD21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01.07.50 Supplément — système pare-neige pour agrafes en biais (1 trou de passage pour tubes pare-neige)</w:t>
      </w:r>
    </w:p>
    <w:p w14:paraId="1C0A629E"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Supplément pour système pare-neige installé en diagonale.</w:t>
      </w:r>
    </w:p>
    <w:p w14:paraId="557614B9"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de-AT" w:eastAsia="de-AT"/>
        </w:rPr>
      </w:pPr>
    </w:p>
    <w:p w14:paraId="2E05E86E"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Bride de maintien : avec trou oblong pour agrafe en biais, 1 trou de passage pour tubes pare-neige</w:t>
      </w:r>
    </w:p>
    <w:p w14:paraId="33B29B07" w14:textId="1539DDC4"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sz w:val="20"/>
          <w:szCs w:val="20"/>
        </w:rPr>
        <w:t xml:space="preserve">Trou de passage : 28 mm </w:t>
      </w:r>
      <w:r>
        <w:rPr>
          <w:rFonts w:ascii="Arial" w:hAnsi="Arial"/>
          <w:sz w:val="20"/>
          <w:szCs w:val="20"/>
        </w:rPr>
        <w:t>⌀</w:t>
      </w:r>
      <w:r>
        <w:rPr>
          <w:sz w:val="20"/>
          <w:szCs w:val="20"/>
        </w:rPr>
        <w:t>, 1 pc.</w:t>
      </w:r>
    </w:p>
    <w:p w14:paraId="65F237ED" w14:textId="5A533A21"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Manchon de raccordement : 28 mm (diamètre intérieur), 100 mm (longueur)</w:t>
      </w:r>
    </w:p>
    <w:p w14:paraId="18587DE1"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15E1E11B"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Matériau : aluminium</w:t>
      </w:r>
    </w:p>
    <w:p w14:paraId="15857D69"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Alliage : AlMgSi0,5</w:t>
      </w:r>
    </w:p>
    <w:p w14:paraId="3D28EC4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65FC3B8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8856412"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05CC3D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1D18C3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EFBBDB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01.07.51 Système pare-neige PREFA pour bandes complémentaires Prefalz (2 trous de passage pour tubes pare-neige)</w:t>
      </w:r>
    </w:p>
    <w:p w14:paraId="0AA9083F"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systèmes pare-neige pour couvertures de toit réalisées avec des bandes complémentaires Prefalz. Le nombre et la disposition des systèmes pare-neige est définie sur la base des calculs statiques effectués. Respecter les directives de pose PREFA.</w:t>
      </w:r>
    </w:p>
    <w:p w14:paraId="11ADFD4E"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ADB5773" w14:textId="77777777" w:rsidR="004B50AA"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Bride de maintien : bride double (pour deux tubes pare-neige)</w:t>
      </w:r>
    </w:p>
    <w:p w14:paraId="2BB6C6DF" w14:textId="3872A9D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sz w:val="20"/>
          <w:szCs w:val="20"/>
        </w:rPr>
        <w:t xml:space="preserve">Trou de passage : 28 mm </w:t>
      </w:r>
      <w:r>
        <w:rPr>
          <w:rFonts w:ascii="Arial" w:hAnsi="Arial"/>
          <w:sz w:val="20"/>
          <w:szCs w:val="20"/>
        </w:rPr>
        <w:t>⌀</w:t>
      </w:r>
      <w:r>
        <w:rPr>
          <w:sz w:val="20"/>
          <w:szCs w:val="20"/>
        </w:rPr>
        <w:t>, 1 pc.</w:t>
      </w:r>
    </w:p>
    <w:p w14:paraId="1DF828AA" w14:textId="515B5232"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Manchon de raccordement : 28 mm (diamètre intérieur), 100 mm (longueur)</w:t>
      </w:r>
    </w:p>
    <w:p w14:paraId="543CB874"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387D2AE9"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Matériau : aluminium</w:t>
      </w:r>
    </w:p>
    <w:p w14:paraId="34E3EE48"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Alliage : AlMgSi0,5</w:t>
      </w:r>
    </w:p>
    <w:p w14:paraId="27391E7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5553958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29D0A88"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DA9C1B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47A9B0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E9A0F77" w14:textId="0ADFC27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01.07.52 Supplément — pour crochets à glace PREFA (système pare-neige)</w:t>
      </w:r>
    </w:p>
    <w:p w14:paraId="775043B6" w14:textId="4CA08A48"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Supplément pour crochets à glace PREFA (systèmes pare-neige) ; 2 crochets par bac.</w:t>
      </w:r>
    </w:p>
    <w:p w14:paraId="5D42842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BD44FF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7B0D80D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01583F6"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47460F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FB7B89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6317E2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01.07.53 Crochet de sécurité (conforme à la norme EN 517 B, pour toitures à joints debout)</w:t>
      </w:r>
    </w:p>
    <w:p w14:paraId="53C17D53" w14:textId="6D56C961" w:rsidR="004B50AA" w:rsidRPr="003C6144" w:rsidRDefault="004D40C0"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crochets de sécurité SDH-Industry 31 (équipements de protection contre les chutes) ; conformes à la norme EN 517 B ; autorisés pour deux personnes ; fixés directement sur les joints debout à double agrafe. Respecter les directives de pose PREFA.</w:t>
      </w:r>
    </w:p>
    <w:p w14:paraId="40F1CD3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75A9EA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Les crochets de sécurité sont conçus et disposés conformément à la réglementation relative à la prévention des accidents en vigueur dans chaque pays et aux exigences spécifiques posées par chacun des bâtiments.</w:t>
      </w:r>
    </w:p>
    <w:p w14:paraId="0A86620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06BD187" w14:textId="578EC67A" w:rsidR="004B50AA" w:rsidRPr="00643428"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 et acier inoxydable</w:t>
      </w:r>
    </w:p>
    <w:p w14:paraId="23521537" w14:textId="4FB701F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aluminium naturel et acier inoxydable</w:t>
      </w:r>
    </w:p>
    <w:p w14:paraId="1F04AB6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130991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06EA95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062D369"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A55191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DB07F2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70B677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01.07.54 Point d’ancrage unique PREFA</w:t>
      </w:r>
    </w:p>
    <w:p w14:paraId="6B8E2290" w14:textId="62D23746" w:rsidR="004B50AA" w:rsidRPr="003C6144" w:rsidRDefault="004B50AA" w:rsidP="00C67253">
      <w:pPr>
        <w:widowControl w:val="0"/>
        <w:tabs>
          <w:tab w:val="left" w:pos="13608"/>
          <w:tab w:val="left" w:pos="16284"/>
          <w:tab w:val="left" w:pos="17700"/>
          <w:tab w:val="left" w:pos="19116"/>
          <w:tab w:val="left" w:pos="20532"/>
        </w:tabs>
        <w:autoSpaceDE w:val="0"/>
        <w:autoSpaceDN w:val="0"/>
        <w:adjustRightInd w:val="0"/>
        <w:ind w:right="1870"/>
        <w:rPr>
          <w:rFonts w:ascii="Arial" w:hAnsi="Arial" w:cs="Arial"/>
          <w:sz w:val="20"/>
        </w:rPr>
      </w:pPr>
      <w:r>
        <w:rPr>
          <w:rFonts w:ascii="Arial" w:hAnsi="Arial"/>
          <w:sz w:val="20"/>
          <w:szCs w:val="20"/>
        </w:rPr>
        <w:t>Livraison et pose de points d’ancrage uniques PREFA (équipements de protection contre les chutes) ; conformes à la norme EN 795 ; autorisés pour deux personnes ; fixés directement sur les joints debout à double agrafe. Respecter les directives de pose PREFA.</w:t>
      </w:r>
    </w:p>
    <w:p w14:paraId="46D0EDB1" w14:textId="77777777" w:rsidR="004B50AA" w:rsidRPr="003C6144" w:rsidRDefault="004B50AA" w:rsidP="00C67253">
      <w:pPr>
        <w:widowControl w:val="0"/>
        <w:tabs>
          <w:tab w:val="left" w:pos="13608"/>
          <w:tab w:val="left" w:pos="16284"/>
          <w:tab w:val="left" w:pos="17700"/>
          <w:tab w:val="left" w:pos="19116"/>
          <w:tab w:val="left" w:pos="20532"/>
        </w:tabs>
        <w:autoSpaceDE w:val="0"/>
        <w:autoSpaceDN w:val="0"/>
        <w:adjustRightInd w:val="0"/>
        <w:ind w:right="1870"/>
        <w:rPr>
          <w:rFonts w:ascii="Arial" w:hAnsi="Arial" w:cs="Arial"/>
          <w:sz w:val="20"/>
          <w:lang w:eastAsia="de-DE"/>
        </w:rPr>
      </w:pPr>
    </w:p>
    <w:p w14:paraId="583B710C" w14:textId="77777777" w:rsidR="004B50AA" w:rsidRPr="003C6144" w:rsidRDefault="004B50AA" w:rsidP="00C67253">
      <w:pPr>
        <w:widowControl w:val="0"/>
        <w:tabs>
          <w:tab w:val="left" w:pos="13608"/>
          <w:tab w:val="left" w:pos="16284"/>
          <w:tab w:val="left" w:pos="17700"/>
          <w:tab w:val="left" w:pos="19116"/>
          <w:tab w:val="left" w:pos="20532"/>
        </w:tabs>
        <w:autoSpaceDE w:val="0"/>
        <w:autoSpaceDN w:val="0"/>
        <w:adjustRightInd w:val="0"/>
        <w:ind w:right="1870"/>
        <w:rPr>
          <w:rFonts w:ascii="Arial" w:hAnsi="Arial" w:cs="Arial"/>
          <w:sz w:val="20"/>
        </w:rPr>
      </w:pPr>
      <w:r>
        <w:rPr>
          <w:rFonts w:ascii="Arial" w:hAnsi="Arial"/>
          <w:sz w:val="20"/>
          <w:szCs w:val="20"/>
        </w:rPr>
        <w:t>Les points d’ancrage unique sont conçus et disposés conformément à la réglementation relative à la prévention des accidents en vigueur dans chaque pays et aux exigences spécifiques posées par chacun des bâtiments.</w:t>
      </w:r>
    </w:p>
    <w:p w14:paraId="7B6CB9B7" w14:textId="77777777" w:rsidR="004B50AA" w:rsidRPr="003C6144" w:rsidRDefault="004B50AA" w:rsidP="00C67253">
      <w:pPr>
        <w:widowControl w:val="0"/>
        <w:tabs>
          <w:tab w:val="left" w:pos="13608"/>
          <w:tab w:val="left" w:pos="16284"/>
          <w:tab w:val="left" w:pos="17700"/>
          <w:tab w:val="left" w:pos="19116"/>
          <w:tab w:val="left" w:pos="20532"/>
        </w:tabs>
        <w:autoSpaceDE w:val="0"/>
        <w:autoSpaceDN w:val="0"/>
        <w:adjustRightInd w:val="0"/>
        <w:ind w:right="1870"/>
        <w:rPr>
          <w:rFonts w:ascii="Arial" w:hAnsi="Arial" w:cs="Arial"/>
          <w:sz w:val="20"/>
          <w:lang w:eastAsia="de-DE"/>
        </w:rPr>
      </w:pPr>
    </w:p>
    <w:p w14:paraId="151D91F3" w14:textId="77777777" w:rsidR="004B50AA" w:rsidRPr="00423B1F" w:rsidRDefault="004B50AA" w:rsidP="00C67253">
      <w:pPr>
        <w:widowControl w:val="0"/>
        <w:tabs>
          <w:tab w:val="left" w:pos="13608"/>
          <w:tab w:val="left" w:pos="16284"/>
          <w:tab w:val="left" w:pos="17700"/>
          <w:tab w:val="left" w:pos="19116"/>
          <w:tab w:val="left" w:pos="20532"/>
        </w:tabs>
        <w:autoSpaceDE w:val="0"/>
        <w:autoSpaceDN w:val="0"/>
        <w:adjustRightInd w:val="0"/>
        <w:ind w:right="1870"/>
        <w:rPr>
          <w:rFonts w:ascii="Arial" w:hAnsi="Arial" w:cs="Arial"/>
          <w:sz w:val="20"/>
          <w:szCs w:val="20"/>
        </w:rPr>
      </w:pPr>
      <w:r>
        <w:rPr>
          <w:rFonts w:ascii="Arial" w:hAnsi="Arial"/>
          <w:sz w:val="20"/>
          <w:szCs w:val="20"/>
        </w:rPr>
        <w:t>Matériau : aluminium / acier inoxydable</w:t>
      </w:r>
    </w:p>
    <w:p w14:paraId="2A74E37B" w14:textId="77777777" w:rsidR="00C67253" w:rsidRDefault="004B50AA" w:rsidP="00C67253">
      <w:pPr>
        <w:widowControl w:val="0"/>
        <w:tabs>
          <w:tab w:val="left" w:pos="13608"/>
          <w:tab w:val="left" w:pos="16284"/>
          <w:tab w:val="left" w:pos="17700"/>
          <w:tab w:val="left" w:pos="19116"/>
          <w:tab w:val="left" w:pos="20532"/>
        </w:tabs>
        <w:autoSpaceDE w:val="0"/>
        <w:autoSpaceDN w:val="0"/>
        <w:adjustRightInd w:val="0"/>
        <w:ind w:right="1870"/>
        <w:rPr>
          <w:rFonts w:ascii="Arial" w:hAnsi="Arial" w:cs="Arial"/>
          <w:sz w:val="20"/>
          <w:szCs w:val="20"/>
        </w:rPr>
      </w:pPr>
      <w:r>
        <w:rPr>
          <w:rFonts w:ascii="Arial" w:hAnsi="Arial"/>
          <w:sz w:val="20"/>
          <w:szCs w:val="20"/>
        </w:rPr>
        <w:t>Couleur : aluminium naturel</w:t>
      </w:r>
    </w:p>
    <w:p w14:paraId="6147B51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6FBBB5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24E5C48"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23371D0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461A4C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0FC581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01.07.55 Support de panneau solaire Sunny</w:t>
      </w:r>
    </w:p>
    <w:p w14:paraId="6BCB46D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supports de panneaux solaires Sunny destinés à la fixation de panneaux solaires sur les toitures PREFA. Fournis avec le kit d’assemblage PREFA pour l’assemblage du cache de protection. Le nombre des supports solaires et la distance qui les sépare sont définis sur la base des calculs statiques effectués. Pose d’une plaque de support si nécessaire. Respecter les directives de pose PREFA.</w:t>
      </w:r>
    </w:p>
    <w:p w14:paraId="706A591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AE88D6A" w14:textId="746767DF" w:rsidR="004B50AA" w:rsidRPr="00423B1F"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Vis de fixation : STS M12 350 mm, aluminium naturel</w:t>
      </w:r>
    </w:p>
    <w:p w14:paraId="0685EF0F" w14:textId="73E0CFC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Cache de protection : gris de zinc, revêtement thermolaqué, aluminium de 1,20 mm</w:t>
      </w:r>
    </w:p>
    <w:p w14:paraId="5B30B3D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67125EF"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DC93D4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C41C05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17D805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01.07.56 Chemin de circulation PREFA pour les couvertures Prefalz à joints debout à double agrafe</w:t>
      </w:r>
    </w:p>
    <w:p w14:paraId="26B120D6"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chemins de circulation PREFA ; les supports sont fixés directement sur joints debout à double agrafe ; matériel de fixation compris. Respecter les directives de pose PREFA.</w:t>
      </w:r>
    </w:p>
    <w:p w14:paraId="7445710E"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270F1295" w14:textId="36062692"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Support de chemin de circulation : 250 mm (écartement entre les supports : max. 900 mm) ; inclinaison réglable pour pentes de toits comprises entre 5° et 55°.</w:t>
      </w:r>
    </w:p>
    <w:p w14:paraId="0848B892" w14:textId="00828ADE"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Chemin de circulation : 250 × 600/800/1 200 mm ; avec matériel de fixation et éléments d’assemblage pour chemins de circulation.</w:t>
      </w:r>
    </w:p>
    <w:p w14:paraId="68DD75BB"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Matériau : acier galvanisé, revêtement thermolaqué</w:t>
      </w:r>
    </w:p>
    <w:p w14:paraId="12FA65B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B1D151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5BE031F"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58A7CD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CE480B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52A342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01.07.57 Supports de chemins de circulation PREFA pour couvertures Prefalz</w:t>
      </w:r>
    </w:p>
    <w:p w14:paraId="3F1EE5C7"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supports de chemins de circulation PREFA ; les supports sont fixés directement sur joints debout à double agrafe ; matériel de fixation compris. Respecter les directives de pose PREFA.</w:t>
      </w:r>
    </w:p>
    <w:p w14:paraId="1F61CC93"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05F1EF9C" w14:textId="2E432AA0"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Support de chemin de circulation : deux éléments de 250 mm (écartement entre les supports : max. 900 mm) ; inclinaison réglable pour pentes de toits comprises entre 5° et 55°.</w:t>
      </w:r>
    </w:p>
    <w:p w14:paraId="2D81DCBC" w14:textId="29F68C32"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Chemin de circulation : 250 × 600/800 mm ; avec matériel de fixation.</w:t>
      </w:r>
    </w:p>
    <w:p w14:paraId="69FDE073"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Matériau : acier galvanisé, revêtement thermolaqué</w:t>
      </w:r>
    </w:p>
    <w:p w14:paraId="4B9898E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82EE32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9CD5E6D"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56AC873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3CB259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36CD916" w14:textId="6EECCC6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01.07.58 Mise en œuvre d’un élément de toiture conique</w:t>
      </w:r>
    </w:p>
    <w:p w14:paraId="51D0D750" w14:textId="30A33018"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d’un élément de toiture conique réalisé à partir de bandes complémentaires Prefalz ; avec matériel de fixation et ajustage à la couverture PREFA.</w:t>
      </w:r>
    </w:p>
    <w:p w14:paraId="53E10C5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7BA3AEEF"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Rayon : …</w:t>
      </w:r>
    </w:p>
    <w:p w14:paraId="517B09A6"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782E04D6"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87C764A" w14:textId="77777777" w:rsidR="004B50AA" w:rsidRPr="00423B1F"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9D2A1C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094AE7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2F642E2" w14:textId="77777777"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3C70934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5CF911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FF19D1" w14:textId="5FEAB92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01.07.59 Facturation en régie — Nombre d’heures d’ouvriers qualifiés</w:t>
      </w:r>
    </w:p>
    <w:p w14:paraId="438E52A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d’ouvriers qualifiés</w:t>
      </w:r>
    </w:p>
    <w:p w14:paraId="460671F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04EF6A3" w14:textId="6DF8CEA3"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70587FE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E2F1BE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04E5F7C" w14:textId="3F33C8A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01.07.60 Facturation en régie — Nombre d’heures de manœuvres</w:t>
      </w:r>
    </w:p>
    <w:p w14:paraId="19B1E77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de manœuvres</w:t>
      </w:r>
    </w:p>
    <w:p w14:paraId="5909D51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941904D" w14:textId="4E96F84C" w:rsidR="004B50AA" w:rsidRPr="00423B1F"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1349C0D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F782DB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lang w:val="x-none" w:eastAsia="x-none"/>
        </w:rPr>
      </w:pPr>
    </w:p>
    <w:p w14:paraId="107F442A"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Titre 01.07 Joint debout à double agrafe en bande d’aluminium Prefalz  PT ____________</w:t>
      </w:r>
    </w:p>
    <w:p w14:paraId="7D66C1F1" w14:textId="77777777" w:rsidR="004B50AA" w:rsidRPr="003C614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sz w:val="20"/>
        </w:rPr>
      </w:pPr>
      <w:r>
        <w:rPr>
          <w:rFonts w:ascii="Arial" w:hAnsi="Arial"/>
          <w:b/>
          <w:bCs/>
          <w:sz w:val="20"/>
        </w:rPr>
        <w:br w:type="page"/>
        <w:t>  </w:t>
      </w:r>
    </w:p>
    <w:p w14:paraId="6A2B2DB7"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Récapitulatif</w:t>
      </w:r>
    </w:p>
    <w:p w14:paraId="1585A65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34C124E" w14:textId="0A3E7C4C"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rPr>
      </w:pPr>
      <w:r>
        <w:rPr>
          <w:rFonts w:ascii="Arial" w:hAnsi="Arial"/>
        </w:rPr>
        <w:t>Titre 01.07 Joint debout à double agrafe en bande d’aluminium Prefalz</w:t>
      </w:r>
    </w:p>
    <w:p w14:paraId="58670FFA" w14:textId="77777777" w:rsidR="004B50AA" w:rsidRPr="00423B1F"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szCs w:val="20"/>
        </w:rPr>
      </w:pPr>
      <w:r>
        <w:rPr>
          <w:rFonts w:ascii="Arial" w:hAnsi="Arial"/>
          <w:sz w:val="20"/>
          <w:szCs w:val="20"/>
        </w:rPr>
        <w:t>PT _____________</w:t>
      </w:r>
    </w:p>
    <w:p w14:paraId="04DCDB4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7D47355"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LV 01 Toitures PREFA</w:t>
      </w:r>
    </w:p>
    <w:p w14:paraId="1C593D20"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PT __________</w:t>
      </w:r>
    </w:p>
    <w:p w14:paraId="268AC5C6" w14:textId="77777777" w:rsidR="004B50AA" w:rsidRPr="003C6144" w:rsidRDefault="004B50AA" w:rsidP="00C67253">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20"/>
          <w:lang w:val="x-none" w:eastAsia="x-none"/>
        </w:rPr>
      </w:pPr>
    </w:p>
    <w:p w14:paraId="34D20BE8" w14:textId="77777777" w:rsidR="004B50AA" w:rsidRPr="003C6144" w:rsidRDefault="004B50AA" w:rsidP="00C67253">
      <w:pPr>
        <w:rPr>
          <w:sz w:val="20"/>
          <w:lang w:val="x-none"/>
        </w:rPr>
      </w:pPr>
    </w:p>
    <w:p w14:paraId="791F87FD" w14:textId="77777777" w:rsidR="004B50AA" w:rsidRPr="003C6144" w:rsidRDefault="004B50AA">
      <w:pPr>
        <w:rPr>
          <w:sz w:val="20"/>
        </w:rPr>
      </w:pPr>
    </w:p>
    <w:p w14:paraId="1DBA4348" w14:textId="77777777" w:rsidR="009D5B78" w:rsidRPr="003C6144" w:rsidRDefault="009D5B78">
      <w:pPr>
        <w:rPr>
          <w:sz w:val="20"/>
        </w:rPr>
      </w:pPr>
    </w:p>
    <w:sectPr w:rsidR="009D5B78" w:rsidRPr="003C6144" w:rsidSect="00C67253">
      <w:headerReference w:type="default"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783D0" w14:textId="77777777" w:rsidR="00212B10" w:rsidRDefault="00212B10" w:rsidP="00D5549D">
      <w:r>
        <w:separator/>
      </w:r>
    </w:p>
  </w:endnote>
  <w:endnote w:type="continuationSeparator" w:id="0">
    <w:p w14:paraId="0F3051E0" w14:textId="77777777" w:rsidR="00212B10" w:rsidRDefault="00212B10" w:rsidP="00D5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Arialpt">
    <w:panose1 w:val="00000000000000000000"/>
    <w:charset w:val="00"/>
    <w:family w:val="auto"/>
    <w:notTrueType/>
    <w:pitch w:val="variable"/>
    <w:sig w:usb0="00000003" w:usb1="00000000" w:usb2="00000000" w:usb3="00000000" w:csb0="00000001" w:csb1="00000000"/>
  </w:font>
  <w:font w:name="Menlo Regular">
    <w:charset w:val="00"/>
    <w:family w:val="auto"/>
    <w:pitch w:val="variable"/>
    <w:sig w:usb0="E60022FF"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CE772" w14:textId="77777777" w:rsidR="00212B10" w:rsidRPr="003C6144" w:rsidRDefault="00212B10">
    <w:pPr>
      <w:rPr>
        <w:sz w:val="20"/>
      </w:rPr>
    </w:pPr>
  </w:p>
  <w:p w14:paraId="6407E497" w14:textId="50665739" w:rsidR="00212B10" w:rsidRPr="003C6144" w:rsidRDefault="00212B10" w:rsidP="00C67253">
    <w:pPr>
      <w:rPr>
        <w:sz w:val="20"/>
      </w:rPr>
    </w:pPr>
    <w:r>
      <w:rPr>
        <w:sz w:val="20"/>
      </w:rPr>
      <w:t>PREFA Aluminiumprodukte GmbH</w:t>
    </w:r>
    <w:r>
      <w:rPr>
        <w:sz w:val="20"/>
      </w:rPr>
      <w:tab/>
    </w:r>
    <w:r>
      <w:rPr>
        <w:sz w:val="20"/>
      </w:rPr>
      <w:tab/>
    </w:r>
    <w:r>
      <w:rPr>
        <w:sz w:val="20"/>
      </w:rPr>
      <w:tab/>
    </w:r>
    <w:r>
      <w:rPr>
        <w:sz w:val="20"/>
      </w:rPr>
      <w:tab/>
    </w:r>
    <w:r>
      <w:rPr>
        <w:sz w:val="20"/>
      </w:rPr>
      <w:tab/>
    </w:r>
    <w:r>
      <w:rPr>
        <w:sz w:val="20"/>
      </w:rPr>
      <w:tab/>
    </w:r>
    <w:r>
      <w:rPr>
        <w:sz w:val="20"/>
      </w:rPr>
      <w:tab/>
      <w:t xml:space="preserve">page </w:t>
    </w:r>
    <w:r w:rsidRPr="003C6144">
      <w:rPr>
        <w:sz w:val="20"/>
      </w:rPr>
      <w:fldChar w:fldCharType="begin"/>
    </w:r>
    <w:r w:rsidRPr="003C6144">
      <w:rPr>
        <w:sz w:val="20"/>
      </w:rPr>
      <w:instrText xml:space="preserve"> PAGE </w:instrText>
    </w:r>
    <w:r w:rsidRPr="003C6144">
      <w:rPr>
        <w:sz w:val="20"/>
      </w:rPr>
      <w:fldChar w:fldCharType="separate"/>
    </w:r>
    <w:r w:rsidR="00A344D7">
      <w:rPr>
        <w:noProof/>
        <w:sz w:val="20"/>
      </w:rPr>
      <w:t>1</w:t>
    </w:r>
    <w:r w:rsidRPr="003C6144">
      <w:rPr>
        <w:sz w:val="20"/>
      </w:rPr>
      <w:fldChar w:fldCharType="end"/>
    </w:r>
    <w:r>
      <w:rPr>
        <w:sz w:val="20"/>
      </w:rPr>
      <w:t xml:space="preserve"> sur </w:t>
    </w:r>
    <w:r w:rsidRPr="003C6144">
      <w:rPr>
        <w:sz w:val="20"/>
      </w:rPr>
      <w:fldChar w:fldCharType="begin"/>
    </w:r>
    <w:r w:rsidRPr="003C6144">
      <w:rPr>
        <w:sz w:val="20"/>
      </w:rPr>
      <w:instrText xml:space="preserve"> NUMPAGES  </w:instrText>
    </w:r>
    <w:r w:rsidRPr="003C6144">
      <w:rPr>
        <w:sz w:val="20"/>
      </w:rPr>
      <w:fldChar w:fldCharType="separate"/>
    </w:r>
    <w:r w:rsidR="00A344D7">
      <w:rPr>
        <w:noProof/>
        <w:sz w:val="20"/>
      </w:rPr>
      <w:t>8</w:t>
    </w:r>
    <w:r w:rsidRPr="003C6144">
      <w:rPr>
        <w:sz w:val="20"/>
      </w:rPr>
      <w:fldChar w:fldCharType="end"/>
    </w:r>
  </w:p>
  <w:p w14:paraId="1DD96F71" w14:textId="77777777" w:rsidR="00212B10" w:rsidRPr="003C6144" w:rsidRDefault="00212B10" w:rsidP="00C67253">
    <w:pPr>
      <w:rPr>
        <w:sz w:val="20"/>
      </w:rPr>
    </w:pPr>
    <w:r>
      <w:rPr>
        <w:sz w:val="20"/>
      </w:rPr>
      <w:t>A-3182 Marktl/Lilienfeld (Autriche)</w:t>
    </w:r>
  </w:p>
  <w:p w14:paraId="21226E1A" w14:textId="56B7BFE6" w:rsidR="00212B10" w:rsidRDefault="00A344D7" w:rsidP="00C67253">
    <w:pPr>
      <w:pStyle w:val="Fuzeile"/>
    </w:pPr>
    <w:hyperlink r:id="rId1" w:history="1">
      <w:r w:rsidR="00212B10">
        <w:rPr>
          <w:rStyle w:val="Hyperlink"/>
          <w:color w:val="auto"/>
        </w:rPr>
        <w:t>www.prefa.com</w:t>
      </w:r>
    </w:hyperlink>
  </w:p>
  <w:p w14:paraId="3994FBD2" w14:textId="5E3E8FE0" w:rsidR="00212B10" w:rsidRPr="00A75A63" w:rsidRDefault="00212B10" w:rsidP="00C67253">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6382E" w14:textId="77777777" w:rsidR="00212B10" w:rsidRDefault="00212B10" w:rsidP="00D5549D">
      <w:r>
        <w:separator/>
      </w:r>
    </w:p>
  </w:footnote>
  <w:footnote w:type="continuationSeparator" w:id="0">
    <w:p w14:paraId="6A089520" w14:textId="77777777" w:rsidR="00212B10" w:rsidRDefault="00212B10" w:rsidP="00D55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DC47" w14:textId="77777777" w:rsidR="00212B10" w:rsidRDefault="00212B10" w:rsidP="00C67253">
    <w:pPr>
      <w:pStyle w:val="Kopfzeile"/>
      <w:jc w:val="right"/>
    </w:pPr>
    <w:r>
      <w:tab/>
    </w:r>
    <w:r w:rsidR="00A344D7">
      <w:pict w14:anchorId="1D36D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0" o:spid="_x0000_i1025" type="#_x0000_t75" alt="Prefa Slogan+Logo.bmp" style="width:135.35pt;height:23.05pt;visibility:visible">
          <v:imagedata r:id="rId1" o:title="Prefa Slogan+Logo"/>
        </v:shape>
      </w:pict>
    </w:r>
  </w:p>
  <w:p w14:paraId="48164F55" w14:textId="77777777" w:rsidR="00212B10" w:rsidRDefault="00212B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33413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rPr>
        <w:rFonts w:ascii="Symbol" w:hAnsi="Symbol" w:cs="Symbol" w:hint="default"/>
        <w:b w:val="0"/>
        <w:bCs w:val="0"/>
        <w:i w:val="0"/>
        <w:iCs w:val="0"/>
        <w:strike w:val="0"/>
        <w:color w:val="000000"/>
        <w:sz w:val="20"/>
        <w:szCs w:val="20"/>
        <w:u w:val="none"/>
      </w:rPr>
    </w:lvl>
    <w:lvl w:ilvl="1">
      <w:start w:val="1"/>
      <w:numFmt w:val="bullet"/>
      <w:lvlText w:val=""/>
      <w:lvlJc w:val="left"/>
      <w:rPr>
        <w:rFonts w:ascii="Symbol" w:hAnsi="Symbol" w:cs="Symbol" w:hint="default"/>
        <w:b w:val="0"/>
        <w:bCs w:val="0"/>
        <w:i w:val="0"/>
        <w:iCs w:val="0"/>
        <w:strike w:val="0"/>
        <w:color w:val="000000"/>
        <w:sz w:val="20"/>
        <w:szCs w:val="20"/>
        <w:u w:val="none"/>
      </w:rPr>
    </w:lvl>
    <w:lvl w:ilvl="2">
      <w:start w:val="1"/>
      <w:numFmt w:val="bullet"/>
      <w:lvlText w:val=""/>
      <w:lvlJc w:val="left"/>
      <w:rPr>
        <w:rFonts w:ascii="Symbol" w:hAnsi="Symbol" w:cs="Symbol" w:hint="default"/>
        <w:b w:val="0"/>
        <w:bCs w:val="0"/>
        <w:i w:val="0"/>
        <w:iCs w:val="0"/>
        <w:strike w:val="0"/>
        <w:color w:val="000000"/>
        <w:sz w:val="20"/>
        <w:szCs w:val="20"/>
        <w:u w:val="none"/>
      </w:rPr>
    </w:lvl>
    <w:lvl w:ilvl="3">
      <w:start w:val="1"/>
      <w:numFmt w:val="bullet"/>
      <w:lvlText w:val=""/>
      <w:lvlJc w:val="left"/>
      <w:rPr>
        <w:rFonts w:ascii="Symbol" w:hAnsi="Symbol" w:cs="Symbol" w:hint="default"/>
        <w:b w:val="0"/>
        <w:bCs w:val="0"/>
        <w:i w:val="0"/>
        <w:iCs w:val="0"/>
        <w:strike w:val="0"/>
        <w:color w:val="000000"/>
        <w:sz w:val="20"/>
        <w:szCs w:val="20"/>
        <w:u w:val="none"/>
      </w:rPr>
    </w:lvl>
    <w:lvl w:ilvl="4">
      <w:start w:val="1"/>
      <w:numFmt w:val="bullet"/>
      <w:lvlText w:val=""/>
      <w:lvlJc w:val="left"/>
      <w:rPr>
        <w:rFonts w:ascii="Symbol" w:hAnsi="Symbol" w:cs="Symbol" w:hint="default"/>
        <w:b w:val="0"/>
        <w:bCs w:val="0"/>
        <w:i w:val="0"/>
        <w:iCs w:val="0"/>
        <w:strike w:val="0"/>
        <w:color w:val="000000"/>
        <w:sz w:val="20"/>
        <w:szCs w:val="20"/>
        <w:u w:val="none"/>
      </w:rPr>
    </w:lvl>
    <w:lvl w:ilvl="5">
      <w:start w:val="1"/>
      <w:numFmt w:val="bullet"/>
      <w:lvlText w:val=""/>
      <w:lvlJc w:val="left"/>
      <w:rPr>
        <w:rFonts w:ascii="Symbol" w:hAnsi="Symbol" w:cs="Symbol" w:hint="default"/>
        <w:b w:val="0"/>
        <w:bCs w:val="0"/>
        <w:i w:val="0"/>
        <w:iCs w:val="0"/>
        <w:strike w:val="0"/>
        <w:color w:val="000000"/>
        <w:sz w:val="20"/>
        <w:szCs w:val="20"/>
        <w:u w:val="none"/>
      </w:rPr>
    </w:lvl>
    <w:lvl w:ilvl="6">
      <w:start w:val="1"/>
      <w:numFmt w:val="bullet"/>
      <w:lvlText w:val=""/>
      <w:lvlJc w:val="left"/>
      <w:rPr>
        <w:rFonts w:ascii="Symbol" w:hAnsi="Symbol" w:cs="Symbol" w:hint="default"/>
        <w:b w:val="0"/>
        <w:bCs w:val="0"/>
        <w:i w:val="0"/>
        <w:iCs w:val="0"/>
        <w:strike w:val="0"/>
        <w:color w:val="000000"/>
        <w:sz w:val="20"/>
        <w:szCs w:val="20"/>
        <w:u w:val="none"/>
      </w:rPr>
    </w:lvl>
    <w:lvl w:ilvl="7">
      <w:start w:val="1"/>
      <w:numFmt w:val="bullet"/>
      <w:lvlText w:val=""/>
      <w:lvlJc w:val="left"/>
      <w:rPr>
        <w:rFonts w:ascii="Symbol" w:hAnsi="Symbol" w:cs="Symbol" w:hint="default"/>
        <w:b w:val="0"/>
        <w:bCs w:val="0"/>
        <w:i w:val="0"/>
        <w:iCs w:val="0"/>
        <w:strike w:val="0"/>
        <w:color w:val="000000"/>
        <w:sz w:val="20"/>
        <w:szCs w:val="20"/>
        <w:u w:val="none"/>
      </w:rPr>
    </w:lvl>
    <w:lvl w:ilvl="8">
      <w:start w:val="1"/>
      <w:numFmt w:val="bullet"/>
      <w:lvlText w:val=""/>
      <w:lvlJc w:val="left"/>
      <w:rPr>
        <w:rFonts w:ascii="Symbol" w:hAnsi="Symbol" w:cs="Symbol" w:hint="default"/>
        <w:b w:val="0"/>
        <w:bCs w:val="0"/>
        <w:i w:val="0"/>
        <w:iCs w:val="0"/>
        <w:strike w:val="0"/>
        <w:color w:val="000000"/>
        <w:sz w:val="20"/>
        <w:szCs w:val="20"/>
        <w:u w:val="none"/>
      </w:rPr>
    </w:lvl>
  </w:abstractNum>
  <w:abstractNum w:abstractNumId="2" w15:restartNumberingAfterBreak="0">
    <w:nsid w:val="02DA1BA5"/>
    <w:multiLevelType w:val="hybridMultilevel"/>
    <w:tmpl w:val="8DAEC86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6B27AA"/>
    <w:multiLevelType w:val="hybridMultilevel"/>
    <w:tmpl w:val="CDFCF61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B23F5B"/>
    <w:multiLevelType w:val="hybridMultilevel"/>
    <w:tmpl w:val="AF3E62D8"/>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F67B87"/>
    <w:multiLevelType w:val="hybridMultilevel"/>
    <w:tmpl w:val="7CA092F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D44634"/>
    <w:multiLevelType w:val="hybridMultilevel"/>
    <w:tmpl w:val="DB2263DC"/>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B19BE"/>
    <w:multiLevelType w:val="hybridMultilevel"/>
    <w:tmpl w:val="A5D424D2"/>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264DE7"/>
    <w:multiLevelType w:val="hybridMultilevel"/>
    <w:tmpl w:val="C00E93D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05B52"/>
    <w:multiLevelType w:val="hybridMultilevel"/>
    <w:tmpl w:val="14DED2F8"/>
    <w:lvl w:ilvl="0" w:tplc="FF54CB7E">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2E1127"/>
    <w:multiLevelType w:val="hybridMultilevel"/>
    <w:tmpl w:val="80CA5F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496EAF"/>
    <w:multiLevelType w:val="hybridMultilevel"/>
    <w:tmpl w:val="44FA8B8C"/>
    <w:lvl w:ilvl="0" w:tplc="CD5CC6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9E67C8"/>
    <w:multiLevelType w:val="multilevel"/>
    <w:tmpl w:val="8006C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3C6CF0"/>
    <w:multiLevelType w:val="hybridMultilevel"/>
    <w:tmpl w:val="070C9E64"/>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BB6CBD"/>
    <w:multiLevelType w:val="hybridMultilevel"/>
    <w:tmpl w:val="CB809158"/>
    <w:lvl w:ilvl="0" w:tplc="F500918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6239D2"/>
    <w:multiLevelType w:val="hybridMultilevel"/>
    <w:tmpl w:val="DC5EA98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8A2C33"/>
    <w:multiLevelType w:val="hybridMultilevel"/>
    <w:tmpl w:val="9DC87AC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E3294F"/>
    <w:multiLevelType w:val="hybridMultilevel"/>
    <w:tmpl w:val="D604E9F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87312D"/>
    <w:multiLevelType w:val="multilevel"/>
    <w:tmpl w:val="9A56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851697"/>
    <w:multiLevelType w:val="hybridMultilevel"/>
    <w:tmpl w:val="CDB2DE0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213B51"/>
    <w:multiLevelType w:val="hybridMultilevel"/>
    <w:tmpl w:val="C1741B0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3C3FF8"/>
    <w:multiLevelType w:val="hybridMultilevel"/>
    <w:tmpl w:val="D9D8CD7C"/>
    <w:lvl w:ilvl="0" w:tplc="804ECA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A0702D"/>
    <w:multiLevelType w:val="hybridMultilevel"/>
    <w:tmpl w:val="84088B80"/>
    <w:lvl w:ilvl="0" w:tplc="F4AE4B1A">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4B344A"/>
    <w:multiLevelType w:val="hybridMultilevel"/>
    <w:tmpl w:val="9456253C"/>
    <w:lvl w:ilvl="0" w:tplc="651E9834">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AC1C7B"/>
    <w:multiLevelType w:val="hybridMultilevel"/>
    <w:tmpl w:val="F57E77A4"/>
    <w:lvl w:ilvl="0" w:tplc="9528C68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382D54"/>
    <w:multiLevelType w:val="hybridMultilevel"/>
    <w:tmpl w:val="6B3676A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956DA6"/>
    <w:multiLevelType w:val="hybridMultilevel"/>
    <w:tmpl w:val="74344916"/>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324A36"/>
    <w:multiLevelType w:val="hybridMultilevel"/>
    <w:tmpl w:val="69205976"/>
    <w:lvl w:ilvl="0" w:tplc="F52658A6">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601703D"/>
    <w:multiLevelType w:val="multilevel"/>
    <w:tmpl w:val="575E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273CF7"/>
    <w:multiLevelType w:val="hybridMultilevel"/>
    <w:tmpl w:val="B4C6893C"/>
    <w:lvl w:ilvl="0" w:tplc="AE44F80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E94124"/>
    <w:multiLevelType w:val="hybridMultilevel"/>
    <w:tmpl w:val="56D475E0"/>
    <w:lvl w:ilvl="0" w:tplc="183E5946">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916251"/>
    <w:multiLevelType w:val="hybridMultilevel"/>
    <w:tmpl w:val="038A2D96"/>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28334A"/>
    <w:multiLevelType w:val="hybridMultilevel"/>
    <w:tmpl w:val="C8F03144"/>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B831806"/>
    <w:multiLevelType w:val="hybridMultilevel"/>
    <w:tmpl w:val="9B78E4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2F1425"/>
    <w:multiLevelType w:val="hybridMultilevel"/>
    <w:tmpl w:val="7570A59E"/>
    <w:lvl w:ilvl="0" w:tplc="DE5036B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lvl w:ilvl="0">
        <w:start w:val="1"/>
        <w:numFmt w:val="bullet"/>
        <w:suff w:val="space"/>
        <w:lvlText w:val=""/>
        <w:lvlJc w:val="left"/>
        <w:rPr>
          <w:rFonts w:ascii="Symbol" w:hAnsi="Symbol" w:cs="Symbol" w:hint="default"/>
          <w:b w:val="0"/>
          <w:bCs w:val="0"/>
          <w:i w:val="0"/>
          <w:iCs w:val="0"/>
          <w:strike w:val="0"/>
          <w:color w:val="auto"/>
          <w:sz w:val="20"/>
          <w:szCs w:val="20"/>
          <w:u w:val="none"/>
        </w:rPr>
      </w:lvl>
    </w:lvlOverride>
    <w:lvlOverride w:ilvl="1">
      <w:lvl w:ilvl="1">
        <w:start w:val="1"/>
        <w:numFmt w:val="bullet"/>
        <w:lvlText w:val=""/>
        <w:lvlJc w:val="left"/>
        <w:rPr>
          <w:rFonts w:ascii="Symbol" w:hAnsi="Symbol" w:cs="Symbol" w:hint="default"/>
          <w:b w:val="0"/>
          <w:bCs w:val="0"/>
          <w:i w:val="0"/>
          <w:iCs w:val="0"/>
          <w:strike w:val="0"/>
          <w:color w:val="000000"/>
          <w:sz w:val="20"/>
          <w:szCs w:val="20"/>
          <w:u w:val="none"/>
        </w:rPr>
      </w:lvl>
    </w:lvlOverride>
    <w:lvlOverride w:ilvl="2">
      <w:lvl w:ilvl="2">
        <w:start w:val="1"/>
        <w:numFmt w:val="bullet"/>
        <w:lvlText w:val=""/>
        <w:lvlJc w:val="left"/>
        <w:rPr>
          <w:rFonts w:ascii="Symbol" w:hAnsi="Symbol" w:cs="Symbol" w:hint="default"/>
          <w:b w:val="0"/>
          <w:bCs w:val="0"/>
          <w:i w:val="0"/>
          <w:iCs w:val="0"/>
          <w:strike w:val="0"/>
          <w:color w:val="000000"/>
          <w:sz w:val="20"/>
          <w:szCs w:val="20"/>
          <w:u w:val="none"/>
        </w:rPr>
      </w:lvl>
    </w:lvlOverride>
    <w:lvlOverride w:ilvl="3">
      <w:lvl w:ilvl="3">
        <w:start w:val="1"/>
        <w:numFmt w:val="bullet"/>
        <w:lvlText w:val=""/>
        <w:lvlJc w:val="left"/>
        <w:rPr>
          <w:rFonts w:ascii="Symbol" w:hAnsi="Symbol" w:cs="Symbol" w:hint="default"/>
          <w:b w:val="0"/>
          <w:bCs w:val="0"/>
          <w:i w:val="0"/>
          <w:iCs w:val="0"/>
          <w:strike w:val="0"/>
          <w:color w:val="000000"/>
          <w:sz w:val="20"/>
          <w:szCs w:val="20"/>
          <w:u w:val="none"/>
        </w:rPr>
      </w:lvl>
    </w:lvlOverride>
    <w:lvlOverride w:ilvl="4">
      <w:lvl w:ilvl="4">
        <w:start w:val="1"/>
        <w:numFmt w:val="bullet"/>
        <w:lvlText w:val=""/>
        <w:lvlJc w:val="left"/>
        <w:rPr>
          <w:rFonts w:ascii="Symbol" w:hAnsi="Symbol" w:cs="Symbol" w:hint="default"/>
          <w:b w:val="0"/>
          <w:bCs w:val="0"/>
          <w:i w:val="0"/>
          <w:iCs w:val="0"/>
          <w:strike w:val="0"/>
          <w:color w:val="000000"/>
          <w:sz w:val="20"/>
          <w:szCs w:val="20"/>
          <w:u w:val="none"/>
        </w:rPr>
      </w:lvl>
    </w:lvlOverride>
    <w:lvlOverride w:ilvl="5">
      <w:lvl w:ilvl="5">
        <w:start w:val="1"/>
        <w:numFmt w:val="bullet"/>
        <w:lvlText w:val=""/>
        <w:lvlJc w:val="left"/>
        <w:rPr>
          <w:rFonts w:ascii="Symbol" w:hAnsi="Symbol" w:cs="Symbol" w:hint="default"/>
          <w:b w:val="0"/>
          <w:bCs w:val="0"/>
          <w:i w:val="0"/>
          <w:iCs w:val="0"/>
          <w:strike w:val="0"/>
          <w:color w:val="000000"/>
          <w:sz w:val="20"/>
          <w:szCs w:val="20"/>
          <w:u w:val="none"/>
        </w:rPr>
      </w:lvl>
    </w:lvlOverride>
    <w:lvlOverride w:ilvl="6">
      <w:lvl w:ilvl="6">
        <w:start w:val="1"/>
        <w:numFmt w:val="bullet"/>
        <w:lvlText w:val=""/>
        <w:lvlJc w:val="left"/>
        <w:rPr>
          <w:rFonts w:ascii="Symbol" w:hAnsi="Symbol" w:cs="Symbol" w:hint="default"/>
          <w:b w:val="0"/>
          <w:bCs w:val="0"/>
          <w:i w:val="0"/>
          <w:iCs w:val="0"/>
          <w:strike w:val="0"/>
          <w:color w:val="000000"/>
          <w:sz w:val="20"/>
          <w:szCs w:val="20"/>
          <w:u w:val="none"/>
        </w:rPr>
      </w:lvl>
    </w:lvlOverride>
    <w:lvlOverride w:ilvl="7">
      <w:lvl w:ilvl="7">
        <w:start w:val="1"/>
        <w:numFmt w:val="bullet"/>
        <w:lvlText w:val=""/>
        <w:lvlJc w:val="left"/>
        <w:rPr>
          <w:rFonts w:ascii="Symbol" w:hAnsi="Symbol" w:cs="Symbol" w:hint="default"/>
          <w:b w:val="0"/>
          <w:bCs w:val="0"/>
          <w:i w:val="0"/>
          <w:iCs w:val="0"/>
          <w:strike w:val="0"/>
          <w:color w:val="000000"/>
          <w:sz w:val="20"/>
          <w:szCs w:val="20"/>
          <w:u w:val="none"/>
        </w:rPr>
      </w:lvl>
    </w:lvlOverride>
    <w:lvlOverride w:ilvl="8">
      <w:lvl w:ilvl="8">
        <w:start w:val="1"/>
        <w:numFmt w:val="bullet"/>
        <w:lvlText w:val=""/>
        <w:lvlJc w:val="left"/>
        <w:rPr>
          <w:rFonts w:ascii="Symbol" w:hAnsi="Symbol" w:cs="Symbol" w:hint="default"/>
          <w:b w:val="0"/>
          <w:bCs w:val="0"/>
          <w:i w:val="0"/>
          <w:iCs w:val="0"/>
          <w:strike w:val="0"/>
          <w:color w:val="000000"/>
          <w:sz w:val="20"/>
          <w:szCs w:val="20"/>
          <w:u w:val="none"/>
        </w:rPr>
      </w:lvl>
    </w:lvlOverride>
  </w:num>
  <w:num w:numId="3">
    <w:abstractNumId w:val="1"/>
  </w:num>
  <w:num w:numId="4">
    <w:abstractNumId w:val="29"/>
  </w:num>
  <w:num w:numId="5">
    <w:abstractNumId w:val="9"/>
  </w:num>
  <w:num w:numId="6">
    <w:abstractNumId w:val="0"/>
  </w:num>
  <w:num w:numId="7">
    <w:abstractNumId w:val="3"/>
  </w:num>
  <w:num w:numId="8">
    <w:abstractNumId w:val="5"/>
  </w:num>
  <w:num w:numId="9">
    <w:abstractNumId w:val="34"/>
  </w:num>
  <w:num w:numId="10">
    <w:abstractNumId w:val="8"/>
  </w:num>
  <w:num w:numId="11">
    <w:abstractNumId w:val="11"/>
  </w:num>
  <w:num w:numId="12">
    <w:abstractNumId w:val="10"/>
  </w:num>
  <w:num w:numId="13">
    <w:abstractNumId w:val="18"/>
  </w:num>
  <w:num w:numId="14">
    <w:abstractNumId w:val="23"/>
  </w:num>
  <w:num w:numId="15">
    <w:abstractNumId w:val="27"/>
  </w:num>
  <w:num w:numId="16">
    <w:abstractNumId w:val="26"/>
  </w:num>
  <w:num w:numId="17">
    <w:abstractNumId w:val="14"/>
  </w:num>
  <w:num w:numId="18">
    <w:abstractNumId w:val="15"/>
  </w:num>
  <w:num w:numId="19">
    <w:abstractNumId w:val="28"/>
  </w:num>
  <w:num w:numId="20">
    <w:abstractNumId w:val="30"/>
  </w:num>
  <w:num w:numId="21">
    <w:abstractNumId w:val="21"/>
  </w:num>
  <w:num w:numId="22">
    <w:abstractNumId w:val="6"/>
  </w:num>
  <w:num w:numId="23">
    <w:abstractNumId w:val="12"/>
  </w:num>
  <w:num w:numId="24">
    <w:abstractNumId w:val="22"/>
  </w:num>
  <w:num w:numId="25">
    <w:abstractNumId w:val="24"/>
  </w:num>
  <w:num w:numId="26">
    <w:abstractNumId w:val="19"/>
  </w:num>
  <w:num w:numId="27">
    <w:abstractNumId w:val="31"/>
  </w:num>
  <w:num w:numId="28">
    <w:abstractNumId w:val="13"/>
  </w:num>
  <w:num w:numId="29">
    <w:abstractNumId w:val="16"/>
  </w:num>
  <w:num w:numId="30">
    <w:abstractNumId w:val="25"/>
  </w:num>
  <w:num w:numId="31">
    <w:abstractNumId w:val="7"/>
  </w:num>
  <w:num w:numId="32">
    <w:abstractNumId w:val="2"/>
  </w:num>
  <w:num w:numId="33">
    <w:abstractNumId w:val="32"/>
  </w:num>
  <w:num w:numId="34">
    <w:abstractNumId w:val="4"/>
  </w:num>
  <w:num w:numId="35">
    <w:abstractNumId w:val="17"/>
  </w:num>
  <w:num w:numId="36">
    <w:abstractNumId w:val="3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08"/>
  <w:hyphenationZone w:val="425"/>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0AA"/>
    <w:rsid w:val="00005954"/>
    <w:rsid w:val="000575D3"/>
    <w:rsid w:val="00066857"/>
    <w:rsid w:val="00067ACA"/>
    <w:rsid w:val="0008237C"/>
    <w:rsid w:val="000C662D"/>
    <w:rsid w:val="000D75E6"/>
    <w:rsid w:val="000E5E56"/>
    <w:rsid w:val="00120688"/>
    <w:rsid w:val="0014572A"/>
    <w:rsid w:val="001526CE"/>
    <w:rsid w:val="00154385"/>
    <w:rsid w:val="0018769B"/>
    <w:rsid w:val="001A208A"/>
    <w:rsid w:val="001B3F5D"/>
    <w:rsid w:val="001F404D"/>
    <w:rsid w:val="001F52BA"/>
    <w:rsid w:val="002031C0"/>
    <w:rsid w:val="00212B10"/>
    <w:rsid w:val="00224879"/>
    <w:rsid w:val="00225F5A"/>
    <w:rsid w:val="002312C1"/>
    <w:rsid w:val="00277601"/>
    <w:rsid w:val="002833D7"/>
    <w:rsid w:val="002D654F"/>
    <w:rsid w:val="003102D4"/>
    <w:rsid w:val="00367873"/>
    <w:rsid w:val="00374371"/>
    <w:rsid w:val="00390C3F"/>
    <w:rsid w:val="003B5CE5"/>
    <w:rsid w:val="003C4F35"/>
    <w:rsid w:val="003C6144"/>
    <w:rsid w:val="00401FDE"/>
    <w:rsid w:val="0042484F"/>
    <w:rsid w:val="00432AFC"/>
    <w:rsid w:val="0043339B"/>
    <w:rsid w:val="004356AA"/>
    <w:rsid w:val="004B50AA"/>
    <w:rsid w:val="004B702F"/>
    <w:rsid w:val="004C17A5"/>
    <w:rsid w:val="004C255B"/>
    <w:rsid w:val="004D22D4"/>
    <w:rsid w:val="004D40C0"/>
    <w:rsid w:val="004F5B33"/>
    <w:rsid w:val="00503114"/>
    <w:rsid w:val="005079B0"/>
    <w:rsid w:val="00522A71"/>
    <w:rsid w:val="00522FF3"/>
    <w:rsid w:val="005263B9"/>
    <w:rsid w:val="00534A73"/>
    <w:rsid w:val="005400B7"/>
    <w:rsid w:val="0055473C"/>
    <w:rsid w:val="00557292"/>
    <w:rsid w:val="00575AE9"/>
    <w:rsid w:val="005A1A53"/>
    <w:rsid w:val="005C0DDA"/>
    <w:rsid w:val="005E4DC6"/>
    <w:rsid w:val="00625FA2"/>
    <w:rsid w:val="00643428"/>
    <w:rsid w:val="00671E60"/>
    <w:rsid w:val="00683F90"/>
    <w:rsid w:val="006926E0"/>
    <w:rsid w:val="006A6B98"/>
    <w:rsid w:val="006B5EF7"/>
    <w:rsid w:val="006C7B36"/>
    <w:rsid w:val="006D10EB"/>
    <w:rsid w:val="006E2813"/>
    <w:rsid w:val="006E4D85"/>
    <w:rsid w:val="006F382B"/>
    <w:rsid w:val="00707BC4"/>
    <w:rsid w:val="007156E0"/>
    <w:rsid w:val="0076166F"/>
    <w:rsid w:val="0077439C"/>
    <w:rsid w:val="00784B57"/>
    <w:rsid w:val="00786479"/>
    <w:rsid w:val="00791BAB"/>
    <w:rsid w:val="007B05CD"/>
    <w:rsid w:val="007B0D02"/>
    <w:rsid w:val="007C7B79"/>
    <w:rsid w:val="007F516A"/>
    <w:rsid w:val="00801D30"/>
    <w:rsid w:val="008176B6"/>
    <w:rsid w:val="008565C4"/>
    <w:rsid w:val="00872007"/>
    <w:rsid w:val="008D0A34"/>
    <w:rsid w:val="008E6369"/>
    <w:rsid w:val="008F67B9"/>
    <w:rsid w:val="009506B6"/>
    <w:rsid w:val="009672E3"/>
    <w:rsid w:val="009911D0"/>
    <w:rsid w:val="009A0005"/>
    <w:rsid w:val="009A5BD8"/>
    <w:rsid w:val="009C5159"/>
    <w:rsid w:val="009C68F7"/>
    <w:rsid w:val="009D35F9"/>
    <w:rsid w:val="009D5B78"/>
    <w:rsid w:val="00A12138"/>
    <w:rsid w:val="00A12778"/>
    <w:rsid w:val="00A344D7"/>
    <w:rsid w:val="00A673F0"/>
    <w:rsid w:val="00AB69D6"/>
    <w:rsid w:val="00AD4D79"/>
    <w:rsid w:val="00AE4F71"/>
    <w:rsid w:val="00AF0BEF"/>
    <w:rsid w:val="00B166EB"/>
    <w:rsid w:val="00B25792"/>
    <w:rsid w:val="00B26D16"/>
    <w:rsid w:val="00B4659B"/>
    <w:rsid w:val="00B47E6D"/>
    <w:rsid w:val="00B54E89"/>
    <w:rsid w:val="00B81007"/>
    <w:rsid w:val="00BC676E"/>
    <w:rsid w:val="00BE131E"/>
    <w:rsid w:val="00C000E1"/>
    <w:rsid w:val="00C11A9A"/>
    <w:rsid w:val="00C14F2A"/>
    <w:rsid w:val="00C57A8F"/>
    <w:rsid w:val="00C67253"/>
    <w:rsid w:val="00C87265"/>
    <w:rsid w:val="00C95C3E"/>
    <w:rsid w:val="00CA4977"/>
    <w:rsid w:val="00CE7876"/>
    <w:rsid w:val="00D101F8"/>
    <w:rsid w:val="00D1260F"/>
    <w:rsid w:val="00D17741"/>
    <w:rsid w:val="00D5549D"/>
    <w:rsid w:val="00DC6DC0"/>
    <w:rsid w:val="00DD10B8"/>
    <w:rsid w:val="00DD1777"/>
    <w:rsid w:val="00DF5F80"/>
    <w:rsid w:val="00E439CA"/>
    <w:rsid w:val="00E50CDF"/>
    <w:rsid w:val="00E5142A"/>
    <w:rsid w:val="00EB1AA4"/>
    <w:rsid w:val="00EB489E"/>
    <w:rsid w:val="00EB6678"/>
    <w:rsid w:val="00ED141C"/>
    <w:rsid w:val="00ED191E"/>
    <w:rsid w:val="00ED3EC6"/>
    <w:rsid w:val="00F0363D"/>
    <w:rsid w:val="00F13D38"/>
    <w:rsid w:val="00F27EFD"/>
    <w:rsid w:val="00F456BF"/>
    <w:rsid w:val="00F50D7A"/>
    <w:rsid w:val="00F51BD2"/>
    <w:rsid w:val="00FB17BC"/>
    <w:rsid w:val="00FD4302"/>
    <w:rsid w:val="00FF520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14:docId w14:val="7AE25B1F"/>
  <w14:defaultImageDpi w14:val="300"/>
  <w15:docId w15:val="{47D8B8F9-D4CB-4E6D-913E-CD3F5C95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KopfzeileZchn">
    <w:name w:val="Kopfzeile Zchn"/>
    <w:basedOn w:val="Absatz-Standardschriftart"/>
    <w:link w:val="Kopfzeile"/>
    <w:uiPriority w:val="99"/>
    <w:rsid w:val="004B50AA"/>
    <w:rPr>
      <w:rFonts w:ascii="Calibri" w:eastAsia="Calibri" w:hAnsi="Calibri" w:cs="Times New Roman"/>
      <w:sz w:val="22"/>
      <w:szCs w:val="22"/>
      <w:lang w:val="fr-FR" w:eastAsia="en-US"/>
    </w:rPr>
  </w:style>
  <w:style w:type="paragraph" w:styleId="Fuzeile">
    <w:name w:val="footer"/>
    <w:basedOn w:val="Standard"/>
    <w:link w:val="Fu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FuzeileZchn">
    <w:name w:val="Fußzeile Zchn"/>
    <w:basedOn w:val="Absatz-Standardschriftart"/>
    <w:link w:val="Fuzeile"/>
    <w:uiPriority w:val="99"/>
    <w:rsid w:val="004B50AA"/>
    <w:rPr>
      <w:rFonts w:ascii="Calibri" w:eastAsia="Calibri" w:hAnsi="Calibri" w:cs="Times New Roman"/>
      <w:sz w:val="22"/>
      <w:szCs w:val="22"/>
      <w:lang w:val="fr-FR" w:eastAsia="en-US"/>
    </w:rPr>
  </w:style>
  <w:style w:type="paragraph" w:styleId="Sprechblasentext">
    <w:name w:val="Balloon Text"/>
    <w:basedOn w:val="Standard"/>
    <w:link w:val="SprechblasentextZchn"/>
    <w:uiPriority w:val="99"/>
    <w:semiHidden/>
    <w:unhideWhenUsed/>
    <w:rsid w:val="004B50AA"/>
    <w:rPr>
      <w:rFonts w:ascii="Tahoma" w:eastAsia="Calibr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4B50AA"/>
    <w:rPr>
      <w:rFonts w:ascii="Tahoma" w:eastAsia="Calibri" w:hAnsi="Tahoma" w:cs="Tahoma"/>
      <w:sz w:val="16"/>
      <w:szCs w:val="16"/>
      <w:lang w:val="fr-FR" w:eastAsia="en-US"/>
    </w:rPr>
  </w:style>
  <w:style w:type="character" w:styleId="Hyperlink">
    <w:name w:val="Hyperlink"/>
    <w:uiPriority w:val="99"/>
    <w:unhideWhenUsed/>
    <w:rsid w:val="004B50AA"/>
    <w:rPr>
      <w:color w:val="0000FF"/>
      <w:u w:val="single"/>
    </w:rPr>
  </w:style>
  <w:style w:type="character" w:styleId="Platzhaltertext">
    <w:name w:val="Placeholder Text"/>
    <w:uiPriority w:val="99"/>
    <w:semiHidden/>
    <w:rsid w:val="004B50AA"/>
    <w:rPr>
      <w:color w:val="808080"/>
    </w:rPr>
  </w:style>
  <w:style w:type="paragraph" w:customStyle="1" w:styleId="Normal">
    <w:name w:val="[Normal]"/>
    <w:uiPriority w:val="99"/>
    <w:rsid w:val="004B50AA"/>
    <w:pPr>
      <w:widowControl w:val="0"/>
      <w:autoSpaceDE w:val="0"/>
      <w:autoSpaceDN w:val="0"/>
      <w:adjustRightInd w:val="0"/>
    </w:pPr>
    <w:rPr>
      <w:rFonts w:ascii="Arial" w:eastAsia="Calibri" w:hAnsi="Arial" w:cs="Arial"/>
      <w:lang w:eastAsia="de-DE"/>
    </w:rPr>
  </w:style>
  <w:style w:type="paragraph" w:styleId="NurText">
    <w:name w:val="Plain Text"/>
    <w:basedOn w:val="Standard"/>
    <w:link w:val="NurTextZchn"/>
    <w:uiPriority w:val="99"/>
    <w:rsid w:val="004B50AA"/>
    <w:pPr>
      <w:widowControl w:val="0"/>
      <w:autoSpaceDE w:val="0"/>
      <w:autoSpaceDN w:val="0"/>
      <w:adjustRightInd w:val="0"/>
    </w:pPr>
    <w:rPr>
      <w:rFonts w:ascii="Courier New" w:eastAsia="Calibri" w:hAnsi="Courier New" w:cs="Courier New"/>
      <w:sz w:val="20"/>
      <w:szCs w:val="20"/>
      <w:lang w:eastAsia="de-DE"/>
    </w:rPr>
  </w:style>
  <w:style w:type="character" w:customStyle="1" w:styleId="NurTextZchn">
    <w:name w:val="Nur Text Zchn"/>
    <w:basedOn w:val="Absatz-Standardschriftart"/>
    <w:link w:val="NurText"/>
    <w:uiPriority w:val="99"/>
    <w:rsid w:val="004B50AA"/>
    <w:rPr>
      <w:rFonts w:ascii="Courier New" w:eastAsia="Calibri" w:hAnsi="Courier New" w:cs="Courier New"/>
      <w:sz w:val="20"/>
      <w:szCs w:val="20"/>
      <w:lang w:val="fr-FR" w:eastAsia="de-DE"/>
    </w:rPr>
  </w:style>
  <w:style w:type="numbering" w:customStyle="1" w:styleId="KeineListe1">
    <w:name w:val="Keine Liste1"/>
    <w:next w:val="KeineListe"/>
    <w:uiPriority w:val="99"/>
    <w:semiHidden/>
    <w:unhideWhenUsed/>
    <w:rsid w:val="004B50AA"/>
  </w:style>
  <w:style w:type="paragraph" w:customStyle="1" w:styleId="BODY">
    <w:name w:val="BODY"/>
    <w:basedOn w:val="Normal"/>
    <w:uiPriority w:val="99"/>
    <w:rsid w:val="004B50AA"/>
    <w:pPr>
      <w:widowControl/>
    </w:pPr>
    <w:rPr>
      <w:rFonts w:ascii="Arialpt" w:hAnsi="Arialpt" w:cs="Arialpt"/>
      <w:sz w:val="20"/>
      <w:szCs w:val="20"/>
    </w:rPr>
  </w:style>
  <w:style w:type="paragraph" w:customStyle="1" w:styleId="P">
    <w:name w:val="P"/>
    <w:basedOn w:val="BODY"/>
    <w:uiPriority w:val="99"/>
    <w:rsid w:val="004B50AA"/>
    <w:pPr>
      <w:tabs>
        <w:tab w:val="left" w:pos="0"/>
      </w:tabs>
      <w:ind w:right="6220"/>
    </w:pPr>
    <w:rPr>
      <w:rFonts w:ascii="Arial" w:hAnsi="Arial" w:cs="Arial"/>
    </w:rPr>
  </w:style>
  <w:style w:type="character" w:customStyle="1" w:styleId="B">
    <w:name w:val="B"/>
    <w:uiPriority w:val="99"/>
    <w:rsid w:val="004B50AA"/>
    <w:rPr>
      <w:b/>
      <w:bCs/>
    </w:rPr>
  </w:style>
  <w:style w:type="paragraph" w:styleId="StandardWeb">
    <w:name w:val="Normal (Web)"/>
    <w:basedOn w:val="Standard"/>
    <w:uiPriority w:val="99"/>
    <w:unhideWhenUsed/>
    <w:rsid w:val="004B50AA"/>
    <w:pPr>
      <w:spacing w:before="100" w:beforeAutospacing="1" w:after="100" w:afterAutospacing="1"/>
    </w:pPr>
    <w:rPr>
      <w:rFonts w:ascii="Times New Roman" w:eastAsia="Times New Roman" w:hAnsi="Times New Roman" w:cs="Times New Roman"/>
      <w:lang w:eastAsia="de-DE"/>
    </w:rPr>
  </w:style>
  <w:style w:type="character" w:styleId="Kommentarzeichen">
    <w:name w:val="annotation reference"/>
    <w:uiPriority w:val="99"/>
    <w:semiHidden/>
    <w:unhideWhenUsed/>
    <w:rsid w:val="004B50AA"/>
    <w:rPr>
      <w:sz w:val="16"/>
      <w:szCs w:val="16"/>
    </w:rPr>
  </w:style>
  <w:style w:type="paragraph" w:styleId="Kommentartext">
    <w:name w:val="annotation text"/>
    <w:basedOn w:val="Standard"/>
    <w:link w:val="KommentartextZchn"/>
    <w:uiPriority w:val="99"/>
    <w:semiHidden/>
    <w:unhideWhenUsed/>
    <w:rsid w:val="004B50AA"/>
    <w:rPr>
      <w:rFonts w:ascii="Calibri" w:eastAsia="Calibri" w:hAnsi="Calibri" w:cs="Times New Roman"/>
      <w:sz w:val="20"/>
      <w:szCs w:val="20"/>
      <w:lang w:eastAsia="en-US"/>
    </w:rPr>
  </w:style>
  <w:style w:type="character" w:customStyle="1" w:styleId="KommentartextZchn">
    <w:name w:val="Kommentartext Zchn"/>
    <w:basedOn w:val="Absatz-Standardschriftart"/>
    <w:link w:val="Kommentartext"/>
    <w:uiPriority w:val="99"/>
    <w:semiHidden/>
    <w:rsid w:val="004B50AA"/>
    <w:rPr>
      <w:rFonts w:ascii="Calibri" w:eastAsia="Calibri" w:hAnsi="Calibri" w:cs="Times New Roman"/>
      <w:sz w:val="20"/>
      <w:szCs w:val="20"/>
      <w:lang w:val="fr-FR" w:eastAsia="en-US"/>
    </w:rPr>
  </w:style>
  <w:style w:type="paragraph" w:styleId="Kommentarthema">
    <w:name w:val="annotation subject"/>
    <w:basedOn w:val="Kommentartext"/>
    <w:next w:val="Kommentartext"/>
    <w:link w:val="KommentarthemaZchn"/>
    <w:uiPriority w:val="99"/>
    <w:semiHidden/>
    <w:unhideWhenUsed/>
    <w:rsid w:val="004B50AA"/>
    <w:rPr>
      <w:b/>
      <w:bCs/>
    </w:rPr>
  </w:style>
  <w:style w:type="character" w:customStyle="1" w:styleId="KommentarthemaZchn">
    <w:name w:val="Kommentarthema Zchn"/>
    <w:basedOn w:val="KommentartextZchn"/>
    <w:link w:val="Kommentarthema"/>
    <w:uiPriority w:val="99"/>
    <w:semiHidden/>
    <w:rsid w:val="004B50AA"/>
    <w:rPr>
      <w:rFonts w:ascii="Calibri" w:eastAsia="Calibri" w:hAnsi="Calibri" w:cs="Times New Roman"/>
      <w:b/>
      <w:bCs/>
      <w:sz w:val="20"/>
      <w:szCs w:val="20"/>
      <w:lang w:val="fr-FR" w:eastAsia="en-US"/>
    </w:rPr>
  </w:style>
  <w:style w:type="paragraph" w:styleId="berarbeitung">
    <w:name w:val="Revision"/>
    <w:hidden/>
    <w:uiPriority w:val="71"/>
    <w:rsid w:val="004B50AA"/>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ref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4713</Words>
  <Characters>29699</Characters>
  <Application>Microsoft Office Word</Application>
  <DocSecurity>0</DocSecurity>
  <Lines>247</Lines>
  <Paragraphs>68</Paragraphs>
  <ScaleCrop>false</ScaleCrop>
  <Company>XXL Communication</Company>
  <LinksUpToDate>false</LinksUpToDate>
  <CharactersWithSpaces>34344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F. LORRE</dc:creator>
  <cp:keywords/>
  <dc:description/>
  <cp:lastModifiedBy>Klaus Fabian</cp:lastModifiedBy>
  <cp:revision>95</cp:revision>
  <dcterms:created xsi:type="dcterms:W3CDTF">2018-07-07T12:26:00Z</dcterms:created>
  <dcterms:modified xsi:type="dcterms:W3CDTF">2018-07-23T11:55:00Z</dcterms:modified>
</cp:coreProperties>
</file>