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543164" w14:textId="1B551AF4" w:rsidR="004B50AA" w:rsidRDefault="004B50AA" w:rsidP="00C67253">
      <w:pPr>
        <w:pStyle w:val="Normal"/>
        <w:tabs>
          <w:tab w:val="left" w:pos="4025"/>
          <w:tab w:val="left" w:pos="10206"/>
          <w:tab w:val="left" w:pos="11340"/>
          <w:tab w:val="left" w:pos="12474"/>
          <w:tab w:val="left" w:pos="13608"/>
          <w:tab w:val="left" w:pos="14742"/>
          <w:tab w:val="left" w:pos="15876"/>
        </w:tabs>
        <w:ind w:right="1870"/>
        <w:rPr>
          <w:b/>
          <w:bCs/>
          <w:sz w:val="28"/>
          <w:szCs w:val="28"/>
        </w:rPr>
      </w:pPr>
      <w:bookmarkStart w:id="0" w:name="_GoBack"/>
      <w:bookmarkEnd w:id="0"/>
      <w:r>
        <w:rPr>
          <w:b/>
          <w:bCs/>
          <w:sz w:val="28"/>
          <w:szCs w:val="28"/>
        </w:rPr>
        <w:t>Textes pour appels d’offres</w:t>
      </w:r>
    </w:p>
    <w:p w14:paraId="5CF7CDF3" w14:textId="77777777" w:rsidR="004B50AA" w:rsidRDefault="004B50AA" w:rsidP="00C67253">
      <w:pPr>
        <w:pStyle w:val="Normal"/>
        <w:tabs>
          <w:tab w:val="left" w:pos="4025"/>
          <w:tab w:val="left" w:pos="10206"/>
          <w:tab w:val="left" w:pos="11340"/>
          <w:tab w:val="left" w:pos="12474"/>
          <w:tab w:val="left" w:pos="13608"/>
          <w:tab w:val="left" w:pos="14742"/>
          <w:tab w:val="left" w:pos="15876"/>
        </w:tabs>
        <w:ind w:right="1870"/>
        <w:rPr>
          <w:sz w:val="22"/>
          <w:szCs w:val="22"/>
        </w:rPr>
      </w:pPr>
      <w:r>
        <w:rPr>
          <w:sz w:val="20"/>
          <w:szCs w:val="20"/>
        </w:rPr>
        <w:t>Toitures et façades PREFA 2018-06</w:t>
      </w:r>
    </w:p>
    <w:p w14:paraId="29A4D099" w14:textId="77777777" w:rsidR="00C67253" w:rsidRDefault="00C67253" w:rsidP="00C67253">
      <w:pPr>
        <w:pStyle w:val="Normal"/>
        <w:tabs>
          <w:tab w:val="left" w:pos="4025"/>
          <w:tab w:val="left" w:pos="10206"/>
          <w:tab w:val="left" w:pos="11340"/>
          <w:tab w:val="left" w:pos="12474"/>
          <w:tab w:val="left" w:pos="13608"/>
          <w:tab w:val="left" w:pos="14742"/>
          <w:tab w:val="left" w:pos="15876"/>
        </w:tabs>
        <w:ind w:right="1870"/>
        <w:rPr>
          <w:sz w:val="22"/>
          <w:szCs w:val="22"/>
          <w:lang w:eastAsia="x-none"/>
        </w:rPr>
      </w:pPr>
    </w:p>
    <w:p w14:paraId="32E357F2" w14:textId="77777777" w:rsidR="00C67253" w:rsidRPr="008D0A34"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rPr>
      </w:pPr>
      <w:r>
        <w:rPr>
          <w:rFonts w:ascii="Arial" w:hAnsi="Arial"/>
          <w:b/>
          <w:bCs/>
        </w:rPr>
        <w:t>LV 01 Toitures PREFA</w:t>
      </w:r>
    </w:p>
    <w:p w14:paraId="56B1BB00"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7B5FD1E7" w14:textId="77777777" w:rsidR="00C67253" w:rsidRPr="008D0A34"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rPr>
      </w:pPr>
      <w:r>
        <w:rPr>
          <w:rFonts w:ascii="Arial" w:hAnsi="Arial"/>
          <w:b/>
          <w:bCs/>
        </w:rPr>
        <w:t>Titre 01.04 Losange de toiture 29 × 29</w:t>
      </w:r>
    </w:p>
    <w:p w14:paraId="26048221"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6010588"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403DE835"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REMARQUES PRÉLIMINAIRES GÉNÉRALES</w:t>
      </w:r>
    </w:p>
    <w:p w14:paraId="2201FCC4" w14:textId="77777777" w:rsidR="00C67253"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b/>
          <w:bCs/>
          <w:sz w:val="20"/>
          <w:szCs w:val="20"/>
        </w:rPr>
      </w:pPr>
      <w:r>
        <w:rPr>
          <w:rFonts w:ascii="Arial" w:hAnsi="Arial"/>
          <w:b/>
          <w:bCs/>
          <w:sz w:val="20"/>
          <w:szCs w:val="20"/>
        </w:rPr>
        <w:t>Auteur :</w:t>
      </w:r>
    </w:p>
    <w:p w14:paraId="414AB7EE"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sz w:val="20"/>
          <w:lang w:val="x-none" w:eastAsia="x-none"/>
        </w:rPr>
      </w:pPr>
    </w:p>
    <w:p w14:paraId="6A7EFF4C" w14:textId="77777777" w:rsidR="00C67253"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sz w:val="20"/>
          <w:szCs w:val="20"/>
        </w:rPr>
      </w:pPr>
      <w:r>
        <w:rPr>
          <w:rFonts w:ascii="Arial" w:hAnsi="Arial"/>
          <w:sz w:val="20"/>
          <w:szCs w:val="20"/>
        </w:rPr>
        <w:t>PREFA Aluminiumprodukte GmbH</w:t>
      </w:r>
    </w:p>
    <w:p w14:paraId="2514FEA5"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sz w:val="20"/>
        </w:rPr>
      </w:pPr>
      <w:r>
        <w:rPr>
          <w:rFonts w:ascii="Arial" w:hAnsi="Arial"/>
          <w:sz w:val="20"/>
          <w:szCs w:val="20"/>
        </w:rPr>
        <w:t>3182 Marktl/Lilienfeld</w:t>
      </w:r>
    </w:p>
    <w:p w14:paraId="3179D955"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sz w:val="20"/>
          <w:lang w:val="x-none" w:eastAsia="x-none"/>
        </w:rPr>
      </w:pPr>
    </w:p>
    <w:p w14:paraId="2A93601B" w14:textId="77777777" w:rsidR="004B50AA" w:rsidRPr="00822E8D"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eastAsia="Times New Roman" w:hAnsi="Arial" w:cs="Arial"/>
          <w:sz w:val="20"/>
          <w:szCs w:val="20"/>
        </w:rPr>
      </w:pPr>
      <w:r>
        <w:rPr>
          <w:rFonts w:ascii="Arial" w:hAnsi="Arial"/>
          <w:sz w:val="20"/>
          <w:szCs w:val="20"/>
        </w:rPr>
        <w:t>Dernière modification : le 13/07/2017</w:t>
      </w:r>
    </w:p>
    <w:p w14:paraId="72DAB78F"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rPr>
      </w:pPr>
      <w:r>
        <w:rPr>
          <w:rFonts w:ascii="Arial" w:hAnsi="Arial"/>
          <w:color w:val="000000"/>
          <w:sz w:val="20"/>
          <w:szCs w:val="20"/>
        </w:rPr>
        <w:t>Les prestations décrites doivent être exécutées en conformité avec les instructions de pose et de montage de PREFA Aluminiumprodukte GmbH, ainsi qu’avec les réglementations, règles professionnelles et normes nationales en vigueur.</w:t>
      </w:r>
    </w:p>
    <w:p w14:paraId="4BC0DB4A"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lang w:val="x-none" w:eastAsia="x-none"/>
        </w:rPr>
      </w:pPr>
    </w:p>
    <w:p w14:paraId="40A986EA"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rPr>
      </w:pPr>
      <w:r>
        <w:rPr>
          <w:rFonts w:ascii="Arial" w:hAnsi="Arial"/>
          <w:color w:val="000000"/>
          <w:sz w:val="20"/>
          <w:szCs w:val="20"/>
        </w:rPr>
        <w:t>Le cahier des charges ci-après a été établi sur la base des documents suivants :</w:t>
      </w:r>
    </w:p>
    <w:p w14:paraId="42A9A177"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lang w:val="x-none" w:eastAsia="x-none"/>
        </w:rPr>
      </w:pPr>
    </w:p>
    <w:p w14:paraId="00A41FA3" w14:textId="77777777" w:rsidR="004B50AA" w:rsidRPr="003C6144" w:rsidRDefault="004B50AA" w:rsidP="00C67253">
      <w:pPr>
        <w:widowControl w:val="0"/>
        <w:numPr>
          <w:ilvl w:val="0"/>
          <w:numId w:val="1"/>
        </w:numPr>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rPr>
      </w:pPr>
      <w:r>
        <w:rPr>
          <w:rFonts w:ascii="Arial" w:hAnsi="Arial"/>
          <w:color w:val="000000"/>
          <w:sz w:val="20"/>
          <w:szCs w:val="20"/>
        </w:rPr>
        <w:t>……………………………………</w:t>
      </w:r>
    </w:p>
    <w:p w14:paraId="335E55AE"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lang w:val="x-none" w:eastAsia="x-none"/>
        </w:rPr>
      </w:pPr>
    </w:p>
    <w:p w14:paraId="4509C728" w14:textId="77777777" w:rsidR="004B50AA" w:rsidRPr="003C6144" w:rsidRDefault="004B50AA" w:rsidP="00C67253">
      <w:pPr>
        <w:widowControl w:val="0"/>
        <w:numPr>
          <w:ilvl w:val="0"/>
          <w:numId w:val="1"/>
        </w:numPr>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rPr>
      </w:pPr>
      <w:r>
        <w:rPr>
          <w:rFonts w:ascii="Arial" w:hAnsi="Arial"/>
          <w:color w:val="000000"/>
          <w:sz w:val="20"/>
          <w:szCs w:val="20"/>
        </w:rPr>
        <w:t>……………………………………</w:t>
      </w:r>
    </w:p>
    <w:p w14:paraId="232A31CC"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lang w:val="x-none" w:eastAsia="x-none"/>
        </w:rPr>
      </w:pPr>
    </w:p>
    <w:p w14:paraId="24C51C41" w14:textId="77777777" w:rsidR="004B50AA" w:rsidRPr="003C6144" w:rsidRDefault="004B50AA" w:rsidP="00C67253">
      <w:pPr>
        <w:widowControl w:val="0"/>
        <w:numPr>
          <w:ilvl w:val="0"/>
          <w:numId w:val="1"/>
        </w:numPr>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rPr>
      </w:pPr>
      <w:r>
        <w:rPr>
          <w:rFonts w:ascii="Arial" w:hAnsi="Arial"/>
          <w:color w:val="000000"/>
          <w:sz w:val="20"/>
          <w:szCs w:val="20"/>
        </w:rPr>
        <w:t>……………………………………</w:t>
      </w:r>
    </w:p>
    <w:p w14:paraId="38D9A57B"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lang w:val="x-none" w:eastAsia="x-none"/>
        </w:rPr>
      </w:pPr>
    </w:p>
    <w:p w14:paraId="10AE3E8C" w14:textId="2408E20F" w:rsidR="004B50AA" w:rsidRPr="00822E8D"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eastAsia="Times New Roman" w:hAnsi="Arial" w:cs="Arial"/>
          <w:color w:val="000000"/>
          <w:sz w:val="20"/>
          <w:szCs w:val="20"/>
        </w:rPr>
      </w:pPr>
      <w:r>
        <w:rPr>
          <w:rFonts w:ascii="Arial" w:hAnsi="Arial"/>
          <w:color w:val="000000"/>
          <w:sz w:val="20"/>
          <w:szCs w:val="20"/>
        </w:rPr>
        <w:t>Le présent cahier des charges s’appuie sur les plans mis à notre disposition tout en respectant les règles techniques générales actuellement en vigueur. Le soumissionnaire se doit d’examiner la faisabilité de chaque point du cahier des charges. Les quantités indiquées doivent être vérifiées sur le chantier et éventuellement modifiées.</w:t>
      </w:r>
    </w:p>
    <w:p w14:paraId="07A232B1" w14:textId="77777777" w:rsidR="004B50AA" w:rsidRPr="00822E8D"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eastAsia="Times New Roman" w:hAnsi="Arial" w:cs="Arial"/>
          <w:color w:val="000000"/>
          <w:sz w:val="20"/>
          <w:szCs w:val="20"/>
        </w:rPr>
      </w:pPr>
      <w:r>
        <w:rPr>
          <w:rFonts w:ascii="Arial" w:hAnsi="Arial"/>
          <w:color w:val="000000"/>
          <w:sz w:val="20"/>
          <w:szCs w:val="20"/>
        </w:rPr>
        <w:t>Pour chaque point concerné, les chutes de matériau, les pertes de longueur au niveau des joints, tout comme le petit matériel et le matériel de fixation doivent être intégrés dans les calculs. La facturation s’effectue sur la base des mesures prises sur le site de la construction.</w:t>
      </w:r>
    </w:p>
    <w:p w14:paraId="747F5BC2" w14:textId="77777777" w:rsidR="004B50AA" w:rsidRPr="00822E8D"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eastAsia="Times New Roman" w:hAnsi="Arial" w:cs="Arial"/>
          <w:color w:val="000000"/>
          <w:sz w:val="20"/>
          <w:szCs w:val="20"/>
        </w:rPr>
      </w:pPr>
      <w:r>
        <w:rPr>
          <w:rFonts w:ascii="Arial" w:hAnsi="Arial"/>
          <w:color w:val="000000"/>
          <w:sz w:val="20"/>
          <w:szCs w:val="20"/>
        </w:rPr>
        <w:t>Il est fortement conseillé de visiter le site avant de soumettre toute offre.</w:t>
      </w:r>
    </w:p>
    <w:p w14:paraId="54F008CD"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rPr>
      </w:pPr>
      <w:r>
        <w:rPr>
          <w:rFonts w:ascii="Arial" w:hAnsi="Arial"/>
          <w:color w:val="000000"/>
          <w:sz w:val="20"/>
          <w:szCs w:val="20"/>
        </w:rPr>
        <w:t>Cet appel d’offres ne comprend ni les échafaudages de travail, de façade et de sécurité, ni les éventuelles fermetures de voies de circulation et autorisations officielles, ni les systèmes parafoudre, annexes, balcons et avant-toits. Les études statiques et les prestations touchant à la physique du bâtiment sont à la charge du concepteur.</w:t>
      </w:r>
    </w:p>
    <w:p w14:paraId="178E8CE6" w14:textId="77777777" w:rsidR="004B50AA" w:rsidRPr="003C6144" w:rsidRDefault="004B50AA" w:rsidP="00C67253">
      <w:pPr>
        <w:widowControl w:val="0"/>
        <w:tabs>
          <w:tab w:val="left" w:pos="1440"/>
          <w:tab w:val="left" w:pos="2880"/>
          <w:tab w:val="left" w:pos="4320"/>
          <w:tab w:val="left" w:pos="6480"/>
          <w:tab w:val="left" w:pos="7200"/>
          <w:tab w:val="left" w:pos="8640"/>
          <w:tab w:val="left" w:pos="10080"/>
        </w:tabs>
        <w:autoSpaceDE w:val="0"/>
        <w:autoSpaceDN w:val="0"/>
        <w:adjustRightInd w:val="0"/>
        <w:ind w:right="1870"/>
        <w:rPr>
          <w:rFonts w:ascii="Arial" w:hAnsi="Arial" w:cs="Arial"/>
          <w:color w:val="000000"/>
          <w:sz w:val="20"/>
          <w:lang w:val="x-none" w:eastAsia="x-none"/>
        </w:rPr>
      </w:pPr>
    </w:p>
    <w:p w14:paraId="52C000A9"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color w:val="000000"/>
          <w:sz w:val="20"/>
          <w:szCs w:val="20"/>
        </w:rPr>
        <w:t>La société PREFA Aluminiumprodukte GmbH ne se porte garante ni de l’exhaustivité des informations fournies aux différents points du cahier des charges pour la réalisation des prestations décrites, ni de l’exactitude des dimensions indiquées à chacun de ces points. Le concepteur est tenu de vérifier l’exactitude de toutes les indications et données et, le cas échéant, de les adapter. Ce document est mis à la disposition du concepteur (architecte ou autres) afin de l’aider à élaborer son appel d’offres et doit être considéré comme une simple prestation de conseil.</w:t>
      </w:r>
    </w:p>
    <w:p w14:paraId="2AE63A93"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5D61D172"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0CACFD86" w14:textId="0315FC4D"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br w:type="page"/>
      </w:r>
      <w:r>
        <w:rPr>
          <w:rFonts w:ascii="Arial" w:hAnsi="Arial"/>
          <w:b/>
          <w:bCs/>
          <w:sz w:val="20"/>
          <w:szCs w:val="20"/>
        </w:rPr>
        <w:lastRenderedPageBreak/>
        <w:t>01.04.1 Couche de séparation (isolation phonique et résistance accrue à la pénétration d’eau)</w:t>
      </w:r>
    </w:p>
    <w:p w14:paraId="6386C1DD" w14:textId="77777777" w:rsidR="004B50AA" w:rsidRPr="003C6144" w:rsidRDefault="004B50AA" w:rsidP="00C67253">
      <w:pPr>
        <w:widowControl w:val="0"/>
        <w:tabs>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d’un lé de sous-couverture en bitume polymère avec joints autoadhésifs ; le lé de sous-couverture assure une fonction d’isolation phonique et, lorsque la situation l’exige, de résistance accrue à la pénétration d’eau. Respecter les instructions du fabricant.</w:t>
      </w:r>
    </w:p>
    <w:p w14:paraId="43C8205D" w14:textId="77777777" w:rsidR="004B50AA" w:rsidRPr="003C6144" w:rsidRDefault="004B50AA" w:rsidP="00C67253">
      <w:pPr>
        <w:widowControl w:val="0"/>
        <w:tabs>
          <w:tab w:val="left" w:pos="11340"/>
          <w:tab w:val="left" w:pos="13608"/>
          <w:tab w:val="left" w:pos="15876"/>
        </w:tabs>
        <w:autoSpaceDE w:val="0"/>
        <w:autoSpaceDN w:val="0"/>
        <w:adjustRightInd w:val="0"/>
        <w:ind w:right="1870"/>
        <w:rPr>
          <w:rFonts w:ascii="Arial" w:hAnsi="Arial" w:cs="Arial"/>
          <w:sz w:val="20"/>
          <w:lang w:val="x-none" w:eastAsia="x-none"/>
        </w:rPr>
      </w:pPr>
    </w:p>
    <w:p w14:paraId="6F8E6AE5" w14:textId="77777777" w:rsidR="00C67253" w:rsidRDefault="004B50AA" w:rsidP="00C67253">
      <w:pPr>
        <w:widowControl w:val="0"/>
        <w:tabs>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Produit proposé : ……</w:t>
      </w:r>
    </w:p>
    <w:p w14:paraId="45A7CE99"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51ADA3B7"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0D6E7F0C"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m²</w:t>
      </w:r>
      <w:r>
        <w:rPr>
          <w:rFonts w:ascii="Arial" w:hAnsi="Arial"/>
          <w:sz w:val="20"/>
          <w:szCs w:val="20"/>
        </w:rPr>
        <w:tab/>
        <w:t>PU _____________  PT _____________</w:t>
      </w:r>
    </w:p>
    <w:p w14:paraId="630CA17C"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769BFFBD"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59AEF2DD" w14:textId="3973D97E"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01.04.2 Couche de séparation (au moins 0,9 mm)</w:t>
      </w:r>
    </w:p>
    <w:p w14:paraId="27A7F635"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d’un lé de sous-couverture en bitume polymère avec joints autoadhésifs (couche de séparation). Les propriétés de la couche de séparation seront fonction des exigences posées. Respecter les instructions du fabricant.</w:t>
      </w:r>
    </w:p>
    <w:p w14:paraId="719D14A3"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322D92B3"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Produit proposé : ……</w:t>
      </w:r>
    </w:p>
    <w:p w14:paraId="19619CA5"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50C32195"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m²</w:t>
      </w:r>
      <w:r>
        <w:rPr>
          <w:rFonts w:ascii="Arial" w:hAnsi="Arial"/>
          <w:sz w:val="20"/>
          <w:szCs w:val="20"/>
        </w:rPr>
        <w:tab/>
        <w:t>PU _____________  PT _____________</w:t>
      </w:r>
    </w:p>
    <w:p w14:paraId="68EC4172"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4A9796F8"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348778CB" w14:textId="34C2F24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01.04.3 Couverture de toit — losanges de toiture 29 × 29</w:t>
      </w:r>
    </w:p>
    <w:p w14:paraId="2DE98DDE" w14:textId="59DB2379" w:rsidR="004B50AA" w:rsidRPr="003C6144" w:rsidRDefault="0076166F" w:rsidP="00C67253">
      <w:pPr>
        <w:widowControl w:val="0"/>
        <w:autoSpaceDE w:val="0"/>
        <w:autoSpaceDN w:val="0"/>
        <w:adjustRightInd w:val="0"/>
        <w:ind w:right="1870"/>
        <w:rPr>
          <w:rFonts w:ascii="Arial" w:hAnsi="Arial" w:cs="Arial"/>
          <w:sz w:val="20"/>
        </w:rPr>
      </w:pPr>
      <w:r>
        <w:rPr>
          <w:rFonts w:ascii="Arial" w:hAnsi="Arial"/>
          <w:sz w:val="20"/>
          <w:szCs w:val="20"/>
        </w:rPr>
        <w:t>Livraison et pose d’une couverture de toit en aluminium inoxydable réalisée avec des losanges de toiture 29 × 29 ; comprend le matériel de fixation PREFA (fixation invisible au moyen de pattes brevetées et de clous annelés, 12 par m²) ; pose réalisée sur voligeage intégral (épaisseur minimum : 24 mm). Respecter les directives de pose PREFA.</w:t>
      </w:r>
    </w:p>
    <w:p w14:paraId="73F44487" w14:textId="77777777" w:rsidR="004B50AA" w:rsidRPr="003C6144" w:rsidRDefault="004B50AA" w:rsidP="00C67253">
      <w:pPr>
        <w:widowControl w:val="0"/>
        <w:autoSpaceDE w:val="0"/>
        <w:autoSpaceDN w:val="0"/>
        <w:adjustRightInd w:val="0"/>
        <w:ind w:right="1870"/>
        <w:rPr>
          <w:rFonts w:ascii="Arial" w:hAnsi="Arial" w:cs="Arial"/>
          <w:sz w:val="20"/>
          <w:lang w:val="x-none" w:eastAsia="x-none"/>
        </w:rPr>
      </w:pPr>
    </w:p>
    <w:p w14:paraId="0474F63B" w14:textId="77777777" w:rsidR="003C4F35"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À partir d’une charge de neige normale de 3,25 kN/m² ou pour les catégories de terrain 0, I et II, l’utilisation d’un voligeage intégral avec couche de séparation bitumineuse est obligatoire.</w:t>
      </w:r>
    </w:p>
    <w:p w14:paraId="00F0E0C2" w14:textId="041DC0AA" w:rsidR="004B50AA" w:rsidRPr="003C6144" w:rsidRDefault="004B50AA" w:rsidP="00C67253">
      <w:pPr>
        <w:widowControl w:val="0"/>
        <w:autoSpaceDE w:val="0"/>
        <w:autoSpaceDN w:val="0"/>
        <w:adjustRightInd w:val="0"/>
        <w:ind w:right="1870"/>
        <w:rPr>
          <w:rFonts w:ascii="Arial" w:hAnsi="Arial" w:cs="Arial"/>
          <w:sz w:val="20"/>
          <w:lang w:val="x-none" w:eastAsia="x-none"/>
        </w:rPr>
      </w:pPr>
    </w:p>
    <w:p w14:paraId="33EB35B0" w14:textId="77777777" w:rsidR="004B50AA" w:rsidRPr="00822E8D"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Pente de toit minimum : 22° (soit env. 40,4%)</w:t>
      </w:r>
    </w:p>
    <w:p w14:paraId="61777827" w14:textId="06BC8421" w:rsidR="004B50AA" w:rsidRPr="00822E8D"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Dimensions : 290 × 290 mm en surface de toiture posée (12 par m²)</w:t>
      </w:r>
    </w:p>
    <w:p w14:paraId="3F4965FE" w14:textId="01B12517" w:rsidR="004B50AA" w:rsidRPr="00822E8D"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Épaisseur du matériau : 0,70 mm</w:t>
      </w:r>
    </w:p>
    <w:p w14:paraId="7DDAA021" w14:textId="77777777" w:rsidR="004B50AA" w:rsidRPr="00822E8D"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Poids : 2,6 kg/m²</w:t>
      </w:r>
    </w:p>
    <w:p w14:paraId="473E108B" w14:textId="77777777" w:rsidR="004B50AA" w:rsidRPr="00822E8D"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Matériau : aluminium (entièrement recyclable)</w:t>
      </w:r>
    </w:p>
    <w:p w14:paraId="330D7665" w14:textId="77777777" w:rsidR="004B50AA" w:rsidRPr="00822E8D" w:rsidRDefault="004B50AA" w:rsidP="00C67253">
      <w:pPr>
        <w:widowControl w:val="0"/>
        <w:autoSpaceDE w:val="0"/>
        <w:autoSpaceDN w:val="0"/>
        <w:adjustRightInd w:val="0"/>
        <w:ind w:right="1870"/>
        <w:rPr>
          <w:rFonts w:ascii="Arial" w:eastAsia="Times New Roman" w:hAnsi="Arial" w:cs="Arial"/>
          <w:color w:val="000000"/>
          <w:sz w:val="20"/>
          <w:szCs w:val="20"/>
        </w:rPr>
      </w:pPr>
      <w:r>
        <w:rPr>
          <w:rFonts w:ascii="Arial" w:hAnsi="Arial"/>
          <w:sz w:val="20"/>
          <w:szCs w:val="20"/>
        </w:rPr>
        <w:t xml:space="preserve">Alliage : EN AW-3005 </w:t>
      </w:r>
      <w:r>
        <w:rPr>
          <w:rFonts w:ascii="Arial" w:hAnsi="Arial"/>
          <w:color w:val="000000"/>
          <w:sz w:val="20"/>
          <w:szCs w:val="20"/>
        </w:rPr>
        <w:t>ou EN AW-3105 conformément à la norme EN 573-3</w:t>
      </w:r>
    </w:p>
    <w:p w14:paraId="2683C8A0" w14:textId="77777777" w:rsidR="004B50AA" w:rsidRPr="00822E8D" w:rsidRDefault="004B50AA" w:rsidP="00C67253">
      <w:pPr>
        <w:widowControl w:val="0"/>
        <w:autoSpaceDE w:val="0"/>
        <w:autoSpaceDN w:val="0"/>
        <w:adjustRightInd w:val="0"/>
        <w:ind w:right="1870"/>
        <w:rPr>
          <w:rFonts w:ascii="Arial" w:hAnsi="Arial" w:cs="Arial"/>
          <w:sz w:val="20"/>
          <w:szCs w:val="20"/>
        </w:rPr>
      </w:pPr>
      <w:r>
        <w:rPr>
          <w:rFonts w:ascii="Arial" w:hAnsi="Arial"/>
          <w:color w:val="000000"/>
          <w:sz w:val="20"/>
          <w:szCs w:val="20"/>
        </w:rPr>
        <w:t>Face avant : revêtement à chaud P.10</w:t>
      </w:r>
    </w:p>
    <w:p w14:paraId="28B463FD" w14:textId="77777777" w:rsidR="004B50AA" w:rsidRPr="00822E8D" w:rsidRDefault="004B50AA" w:rsidP="00C67253">
      <w:pPr>
        <w:widowControl w:val="0"/>
        <w:autoSpaceDE w:val="0"/>
        <w:autoSpaceDN w:val="0"/>
        <w:adjustRightInd w:val="0"/>
        <w:ind w:right="1870"/>
        <w:rPr>
          <w:rFonts w:ascii="Arial" w:hAnsi="Arial" w:cs="Arial"/>
          <w:sz w:val="20"/>
          <w:szCs w:val="20"/>
        </w:rPr>
      </w:pPr>
      <w:r>
        <w:rPr>
          <w:rFonts w:ascii="Arial" w:hAnsi="Arial"/>
          <w:sz w:val="20"/>
          <w:szCs w:val="20"/>
        </w:rPr>
        <w:t>Couleur : ……</w:t>
      </w:r>
    </w:p>
    <w:p w14:paraId="2B6CADCA" w14:textId="77777777" w:rsidR="004B50AA" w:rsidRPr="00822E8D" w:rsidRDefault="004B50AA" w:rsidP="00C67253">
      <w:pPr>
        <w:widowControl w:val="0"/>
        <w:autoSpaceDE w:val="0"/>
        <w:autoSpaceDN w:val="0"/>
        <w:adjustRightInd w:val="0"/>
        <w:ind w:right="1870"/>
        <w:rPr>
          <w:rFonts w:ascii="Arial" w:eastAsia="Times New Roman" w:hAnsi="Arial" w:cs="Arial"/>
          <w:sz w:val="20"/>
          <w:szCs w:val="20"/>
        </w:rPr>
      </w:pPr>
      <w:r>
        <w:rPr>
          <w:rFonts w:ascii="Arial" w:hAnsi="Arial"/>
          <w:sz w:val="20"/>
          <w:szCs w:val="20"/>
        </w:rPr>
        <w:t>(couleur standard ; cf. nuancier PREFA)</w:t>
      </w:r>
    </w:p>
    <w:p w14:paraId="0353DFCD" w14:textId="77777777" w:rsidR="004B50AA" w:rsidRPr="00822E8D" w:rsidRDefault="004B50AA" w:rsidP="00C67253">
      <w:pPr>
        <w:widowControl w:val="0"/>
        <w:autoSpaceDE w:val="0"/>
        <w:autoSpaceDN w:val="0"/>
        <w:adjustRightInd w:val="0"/>
        <w:ind w:right="1870"/>
        <w:rPr>
          <w:rFonts w:ascii="Arial" w:eastAsia="Times New Roman" w:hAnsi="Arial" w:cs="Arial"/>
          <w:color w:val="000000"/>
          <w:sz w:val="20"/>
          <w:szCs w:val="20"/>
        </w:rPr>
      </w:pPr>
      <w:r>
        <w:rPr>
          <w:rFonts w:ascii="Arial" w:hAnsi="Arial"/>
          <w:color w:val="000000"/>
          <w:sz w:val="20"/>
          <w:szCs w:val="20"/>
        </w:rPr>
        <w:t>face arrière : vernis de protection</w:t>
      </w:r>
    </w:p>
    <w:p w14:paraId="43BD5E8A" w14:textId="77777777" w:rsidR="004B50AA" w:rsidRPr="00822E8D" w:rsidRDefault="004B50AA" w:rsidP="00C67253">
      <w:pPr>
        <w:widowControl w:val="0"/>
        <w:autoSpaceDE w:val="0"/>
        <w:autoSpaceDN w:val="0"/>
        <w:adjustRightInd w:val="0"/>
        <w:ind w:right="1870"/>
        <w:rPr>
          <w:rFonts w:ascii="Arial" w:eastAsia="Times New Roman" w:hAnsi="Arial" w:cs="Arial"/>
          <w:color w:val="000000"/>
          <w:sz w:val="20"/>
          <w:szCs w:val="20"/>
        </w:rPr>
      </w:pPr>
      <w:r>
        <w:rPr>
          <w:rFonts w:ascii="Arial" w:hAnsi="Arial"/>
          <w:color w:val="000000"/>
          <w:sz w:val="20"/>
          <w:szCs w:val="20"/>
        </w:rPr>
        <w:t>Finition : stucco ou lisse</w:t>
      </w:r>
    </w:p>
    <w:p w14:paraId="52E0AE46" w14:textId="7C4FF23B" w:rsidR="004B50AA" w:rsidRPr="00822E8D" w:rsidRDefault="004B50AA" w:rsidP="00C67253">
      <w:pPr>
        <w:widowControl w:val="0"/>
        <w:autoSpaceDE w:val="0"/>
        <w:autoSpaceDN w:val="0"/>
        <w:adjustRightInd w:val="0"/>
        <w:ind w:right="1870"/>
        <w:rPr>
          <w:rFonts w:ascii="Arial" w:eastAsia="Times New Roman" w:hAnsi="Arial" w:cs="Arial"/>
          <w:color w:val="000000"/>
          <w:sz w:val="20"/>
          <w:szCs w:val="20"/>
        </w:rPr>
      </w:pPr>
      <w:r>
        <w:rPr>
          <w:rFonts w:ascii="Arial" w:hAnsi="Arial"/>
          <w:color w:val="000000"/>
          <w:sz w:val="20"/>
          <w:szCs w:val="20"/>
        </w:rPr>
        <w:t>Classe de réaction au feu : A1 conformément à la norme EN 13501-1</w:t>
      </w:r>
    </w:p>
    <w:p w14:paraId="108A919E" w14:textId="77777777" w:rsidR="004B50AA" w:rsidRPr="00822E8D" w:rsidRDefault="004B50AA" w:rsidP="00C67253">
      <w:pPr>
        <w:widowControl w:val="0"/>
        <w:autoSpaceDE w:val="0"/>
        <w:autoSpaceDN w:val="0"/>
        <w:adjustRightInd w:val="0"/>
        <w:ind w:right="1870"/>
        <w:rPr>
          <w:rFonts w:ascii="Arial" w:eastAsia="Times New Roman" w:hAnsi="Arial" w:cs="Arial"/>
          <w:color w:val="000000"/>
          <w:sz w:val="20"/>
          <w:szCs w:val="20"/>
        </w:rPr>
      </w:pPr>
      <w:r>
        <w:rPr>
          <w:rFonts w:ascii="Arial" w:hAnsi="Arial"/>
          <w:color w:val="000000"/>
          <w:sz w:val="20"/>
          <w:szCs w:val="20"/>
        </w:rPr>
        <w:t>Performance au feu extérieur : sans réalisation de test conformément à la norme EN 13501-5 et à la décision de la Commission européenne 2000/553/EG</w:t>
      </w:r>
    </w:p>
    <w:p w14:paraId="2F011A3D" w14:textId="3FB14A62" w:rsidR="004B50AA" w:rsidRPr="00822E8D" w:rsidRDefault="004B50AA" w:rsidP="00C67253">
      <w:pPr>
        <w:widowControl w:val="0"/>
        <w:autoSpaceDE w:val="0"/>
        <w:autoSpaceDN w:val="0"/>
        <w:adjustRightInd w:val="0"/>
        <w:ind w:right="1870"/>
        <w:rPr>
          <w:rFonts w:ascii="Arial" w:eastAsia="Times New Roman" w:hAnsi="Arial" w:cs="Arial"/>
          <w:color w:val="000000"/>
          <w:sz w:val="20"/>
          <w:szCs w:val="20"/>
        </w:rPr>
      </w:pPr>
      <w:r>
        <w:rPr>
          <w:rFonts w:ascii="Arial" w:hAnsi="Arial"/>
          <w:color w:val="000000"/>
          <w:sz w:val="20"/>
          <w:szCs w:val="20"/>
        </w:rPr>
        <w:t>Déclaration environnementale de produit selon ISO 14025 et EN 15804 : EPD-GDA-20130260-IBG1-DE</w:t>
      </w:r>
    </w:p>
    <w:p w14:paraId="585866B5" w14:textId="2B79F6C6"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color w:val="000000"/>
          <w:sz w:val="20"/>
          <w:szCs w:val="20"/>
        </w:rPr>
        <w:t>Durée de vie de référence conformément à la déclaration environnementale de produit : ≥ 70 ans</w:t>
      </w:r>
    </w:p>
    <w:p w14:paraId="526911B5"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23D9326F"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m²</w:t>
      </w:r>
      <w:r>
        <w:rPr>
          <w:rFonts w:ascii="Arial" w:hAnsi="Arial"/>
          <w:sz w:val="20"/>
          <w:szCs w:val="20"/>
        </w:rPr>
        <w:tab/>
        <w:t>PU _____________  PT _____________</w:t>
      </w:r>
    </w:p>
    <w:p w14:paraId="5E709275"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FAF6CF2"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27F33C9C" w14:textId="569987A9"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01.04.4 Supplément appliqué au produit principal pour demi-losanges de départ (losanges de toiture 29 × 29)</w:t>
      </w:r>
    </w:p>
    <w:p w14:paraId="3968E518" w14:textId="64C52251"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lastRenderedPageBreak/>
        <w:t>Livraison et pose de demi-losanges de départ pour les losanges de toiture PREFA ; pour la mise en œuvre des avant-toits et de tous les raccordements réalisés au niveau des avant-toits (par ex. cheminées, lucarnes, puits de lumière, etc.) ; 2,2 éléments par mètre ; matériel de fixation PREFA inclus.</w:t>
      </w:r>
    </w:p>
    <w:p w14:paraId="08299AF2"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3F29E57E"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4555F9BA"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0E5A1E14"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3240A003" w14:textId="354ACB4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01.04.5 Supplément appliqué au produit principal pour demi-losanges de fin (losanges de toiture 29 × 29)</w:t>
      </w:r>
    </w:p>
    <w:p w14:paraId="74475626" w14:textId="148DEBE8"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Livraison et pose de demi-losanges de fin pour les losanges de toiture PREFA ; pour la mise en œuvre de tous les raccordements réalisés au niveau du faîtage (par ex. cheminées, lucarnes, puits de lumière, etc.) ; 2,2 éléments par mètre ; matériel de fixation PREFA inclus.</w:t>
      </w:r>
    </w:p>
    <w:p w14:paraId="6FC0DF72"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55490B21"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6E3CCE6C"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2DC7F27B"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6AAE2C3A"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01.04.6 Bande de départ</w:t>
      </w:r>
    </w:p>
    <w:p w14:paraId="36E39B37"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bandes de départ PREFA (avec repère) ; comprend le matériel de fixation et l’ajustage à la couverture PREFA. Respecter les directives de pose PREFA.</w:t>
      </w:r>
    </w:p>
    <w:p w14:paraId="54C66745"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5A74972F" w14:textId="462FC2D9"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Dimensions : 1 800 × 158 mm</w:t>
      </w:r>
    </w:p>
    <w:p w14:paraId="45D8CD1A" w14:textId="66D5FA20"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1,0 mm</w:t>
      </w:r>
    </w:p>
    <w:p w14:paraId="29412EEC"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aluminium</w:t>
      </w:r>
    </w:p>
    <w:p w14:paraId="44B1CA5B"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73ACEEDB"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4C5433AE"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554F783F"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64C4E126"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01.04.7 Solin de finition (standard)</w:t>
      </w:r>
    </w:p>
    <w:p w14:paraId="6FFE6DF5" w14:textId="60709506"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solins de finition PREFA avec double pliure réalisée en usine ; matériel de fixation compris ; pliure trapézoïdale alignée sur la pente de la gouttière.</w:t>
      </w:r>
    </w:p>
    <w:p w14:paraId="0ECD3336"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713264F9" w14:textId="5AFD283F"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Dimensions : 230 × 2 000 mm</w:t>
      </w:r>
    </w:p>
    <w:p w14:paraId="355893CD" w14:textId="344B842C"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0,70 mm</w:t>
      </w:r>
    </w:p>
    <w:p w14:paraId="222AF651"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aluminium</w:t>
      </w:r>
    </w:p>
    <w:p w14:paraId="653848E8"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Alliage : AlMn1Mg0,5</w:t>
      </w:r>
    </w:p>
    <w:p w14:paraId="3B51D10F"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Finition : revêtement à chaud bicouche</w:t>
      </w:r>
    </w:p>
    <w:p w14:paraId="4CCE120D"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18976241"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02A10FD0"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77E85AE0"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27F34C0C"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3BB93EE7" w14:textId="715B80F9"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01.04.8 Solin de finition réalisé à partir de bandes complémentaires Prefalz</w:t>
      </w:r>
    </w:p>
    <w:p w14:paraId="4CAEF5E4"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solins de finition réalisés à partir de bandes complémentaires Prefalz ; matériel de fixation compris ; pliure trapézoïdale alignée sur la pente de la gouttière.</w:t>
      </w:r>
    </w:p>
    <w:p w14:paraId="6F1BFABA"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1F6E95AD" w14:textId="1BE44DD1"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 … mm</w:t>
      </w:r>
    </w:p>
    <w:p w14:paraId="7070DB19" w14:textId="2958427E" w:rsidR="00C6725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 pc.</w:t>
      </w:r>
    </w:p>
    <w:p w14:paraId="34923256" w14:textId="77777777" w:rsidR="00C6725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identique au produit principal</w:t>
      </w:r>
    </w:p>
    <w:p w14:paraId="67A1E894" w14:textId="77777777" w:rsidR="00C6725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49645FB7"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2AB8C32D"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0D246B12"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492C3D39"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41358993"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3DEBAC63"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br w:type="page"/>
      </w:r>
      <w:r>
        <w:rPr>
          <w:rFonts w:ascii="Arial" w:hAnsi="Arial"/>
          <w:b/>
          <w:bCs/>
          <w:sz w:val="20"/>
          <w:szCs w:val="20"/>
        </w:rPr>
        <w:lastRenderedPageBreak/>
        <w:t>01.04.9 Grille anti-insectes pour entrée et sortie d’air</w:t>
      </w:r>
    </w:p>
    <w:p w14:paraId="15411F98"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Livraison et pose d’une grille anti-insectes avec perforations circulaires ; pour entrée et sortie d’air ; protection de la lame d’air contre les insectes et les oiseaux. Matériel de fixation compris.</w:t>
      </w:r>
    </w:p>
    <w:p w14:paraId="7E65C496"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21339B71" w14:textId="689B4AF8" w:rsidR="004B50AA" w:rsidRPr="00822E8D"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Dimension de coupe : 125 mm</w:t>
      </w:r>
    </w:p>
    <w:p w14:paraId="53DEF5B9" w14:textId="77777777" w:rsidR="004B50AA" w:rsidRPr="00822E8D"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Pliure : selon les besoins</w:t>
      </w:r>
    </w:p>
    <w:p w14:paraId="2B859279" w14:textId="35BAA154" w:rsidR="004B50AA" w:rsidRPr="00822E8D"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Longueur : 2 000 mm</w:t>
      </w:r>
    </w:p>
    <w:p w14:paraId="3E5104BF" w14:textId="68F6472A" w:rsidR="004B50AA" w:rsidRPr="00822E8D"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0,70 mm</w:t>
      </w:r>
    </w:p>
    <w:p w14:paraId="452FF697" w14:textId="77777777" w:rsidR="004B50AA" w:rsidRPr="00822E8D"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Matériau : aluminium</w:t>
      </w:r>
    </w:p>
    <w:p w14:paraId="5C13EB93" w14:textId="016D912B" w:rsidR="004B50AA" w:rsidRPr="00822E8D"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 xml:space="preserve">Perforations circulaires : </w:t>
      </w:r>
      <w:r>
        <w:rPr>
          <w:rFonts w:ascii="Menlo Regular" w:hAnsi="Menlo Regular"/>
          <w:sz w:val="20"/>
          <w:szCs w:val="20"/>
        </w:rPr>
        <w:t>⌀</w:t>
      </w:r>
      <w:r>
        <w:rPr>
          <w:rFonts w:ascii="Arial" w:hAnsi="Arial"/>
          <w:sz w:val="20"/>
          <w:szCs w:val="20"/>
        </w:rPr>
        <w:t xml:space="preserve"> 5 mm</w:t>
      </w:r>
    </w:p>
    <w:p w14:paraId="034155C0"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7C835713"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55B07A2D"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6E4BEE15"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71F97E62"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0B725F07" w14:textId="00770E3C"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01.04.10 Ligne de bris (combles mansardés)</w:t>
      </w:r>
    </w:p>
    <w:p w14:paraId="3DB458E6"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Mise en œuvre d’une ligne de bris pour comble mansardé ; comprend la pièce d’aluminium pliée et la bande de départ, ainsi que l’ajustage à la couverture de toit PREFA.</w:t>
      </w:r>
    </w:p>
    <w:p w14:paraId="4AC342BA"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3FE3A4E0"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Ligne de bris avec transition de …° à …°</w:t>
      </w:r>
    </w:p>
    <w:p w14:paraId="1B38EDE8"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720BB086"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457FFD50"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5A25D0FC"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77CF351A" w14:textId="5F1CF974"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01.04.11 Ligne de bris</w:t>
      </w:r>
    </w:p>
    <w:p w14:paraId="63351350"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Mise en œuvre d’une ligne de bris avec bande de recouvrement réalisée à partir de bandes complémentaires Prefalz ; comprend le matériel de fixation ainsi que l’ajustage à la couverture PREFA.</w:t>
      </w:r>
    </w:p>
    <w:p w14:paraId="0632E16C"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68FE9B4A"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Ligne de bris avec transition de …° à …°</w:t>
      </w:r>
    </w:p>
    <w:p w14:paraId="0A98426C"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0E38E93A"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38580E31"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25254984"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22820D05"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01.04.12 Noue de sécurité (réalisée en usine)</w:t>
      </w:r>
    </w:p>
    <w:p w14:paraId="723A37E7" w14:textId="19D1FC46"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noues de sécurité mises en œuvre avec un joint supplémentaire ; avec matériel de fixation et ajustage de tous les raccordements à la couverture PREFA (sur les deux côtés). Les éléments (max. 3 000 mm) doivent être assemblés de manière à permettre une dilatation suffisante.</w:t>
      </w:r>
    </w:p>
    <w:p w14:paraId="3E7F96DF"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3FCBCFE3" w14:textId="5EC691EE"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 708 mm</w:t>
      </w:r>
    </w:p>
    <w:p w14:paraId="08F3205E" w14:textId="07C6A178"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8 pc.</w:t>
      </w:r>
    </w:p>
    <w:p w14:paraId="722D7503"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identique au produit principal</w:t>
      </w:r>
    </w:p>
    <w:p w14:paraId="54EEDD23"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6AA67B07"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0FCAAA4A"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6CF39E30"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59089850"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39C81F16"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4D5D69A8" w14:textId="4ED9ECEF"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br w:type="page"/>
      </w:r>
      <w:r>
        <w:rPr>
          <w:rFonts w:ascii="Arial" w:hAnsi="Arial"/>
          <w:b/>
          <w:bCs/>
          <w:sz w:val="20"/>
          <w:szCs w:val="20"/>
        </w:rPr>
        <w:t>01.04.13 Mise en œuvre d’une noue réalisée à partir de bandes complémentaires Prefalz</w:t>
      </w:r>
    </w:p>
    <w:p w14:paraId="13AB23A2" w14:textId="302F404F"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tôles de noue réalisées à partir de bandes complémentaires Prefalz ; avec matériel de fixation et ajustage de tous les raccordements à la couverture PREFA (sur les deux côtés). Les éléments (max. 3 000 mm) doivent être assemblés de manière à permettre une dilatation suffisante.</w:t>
      </w:r>
    </w:p>
    <w:p w14:paraId="2782A9E9"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5ABD21FD" w14:textId="0BCD6B8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 … mm</w:t>
      </w:r>
    </w:p>
    <w:p w14:paraId="24CDD8A7" w14:textId="647EA380"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 pc.</w:t>
      </w:r>
    </w:p>
    <w:p w14:paraId="07FD4E2C"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identique au produit principal</w:t>
      </w:r>
    </w:p>
    <w:p w14:paraId="1BAC96BF"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471FF008"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2F484A29"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0351C5EA"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73224C44"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05D4B7A2"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4C956DAF" w14:textId="1868B6C6"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01.04.14 Mise en œuvre d’une noue encaissée réalisée à partir de bandes complémentaires Prefalz</w:t>
      </w:r>
    </w:p>
    <w:p w14:paraId="1B9DB662" w14:textId="189095A9"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d’une noue encaissée (chéneau) mise en œuvre à partir de bandes complémentaires Prefalz ; noue posée sur la sous-construction surbaissée. Inclut le matériel de fixation et l’ajustage de tous les raccordements à la couverture PREFA (sur les deux côtés), ainsi que la pose d’un lé de sous-couverture offrant une protection supplémentaire contre les accumulations et retenues d’eau. Les éléments (max. 3 000 mm) doivent être assemblés de manière à permettre une dilatation suffisante.</w:t>
      </w:r>
    </w:p>
    <w:p w14:paraId="0C6A7EFC"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6C96318E" w14:textId="25D328C9" w:rsidR="004B50AA"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 … mm</w:t>
      </w:r>
    </w:p>
    <w:p w14:paraId="58F814A3" w14:textId="3A80B4F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jusqu’à 5 pc.</w:t>
      </w:r>
    </w:p>
    <w:p w14:paraId="403C9B63"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identique au produit principal</w:t>
      </w:r>
    </w:p>
    <w:p w14:paraId="70220D90"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656F3D07"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77852F26"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4B6EBD70"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72665C9B"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5BFBAE3A"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6157D417" w14:textId="07550344"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01.04.15 Mise en œuvre d’une noue (noues arrondies)</w:t>
      </w:r>
    </w:p>
    <w:p w14:paraId="01705B37" w14:textId="4A2DC35F"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d’une noue arrondie en écailles mise en œuvre à partir de bandes complémentaires Prefalz (pour lucarnes arrondies). Les éléments (max. 3 000 mm) doivent être assemblés de manière à permettre une dilatation suffisante. Inclut le matériel de fixation ainsi que l’ajustage de tous les raccordements à la couverture PREFA (sur les deux côtés).</w:t>
      </w:r>
    </w:p>
    <w:p w14:paraId="4E67ECD3"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03F53C10" w14:textId="4307C1DA"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Largeur de la lucarne : … mm</w:t>
      </w:r>
    </w:p>
    <w:p w14:paraId="720DF5D8" w14:textId="1450D74F"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Flèche : … mm</w:t>
      </w:r>
    </w:p>
    <w:p w14:paraId="1C9D5CFA"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Pente principale du toit : …°</w:t>
      </w:r>
    </w:p>
    <w:p w14:paraId="5C049FE3"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identique au produit principal</w:t>
      </w:r>
    </w:p>
    <w:p w14:paraId="3876A2BA"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3A4D9C8D"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4E7BA50A"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787745F9"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12C45D64"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23F8997"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2A8E2B8A" w14:textId="1A60E351"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br w:type="page"/>
      </w:r>
      <w:r>
        <w:rPr>
          <w:rFonts w:ascii="Arial" w:hAnsi="Arial"/>
          <w:b/>
          <w:bCs/>
          <w:sz w:val="20"/>
          <w:szCs w:val="20"/>
        </w:rPr>
        <w:t>01.04.16 Raccordement de couloir réalisé à partir de bandes complémentaires Prefalz</w:t>
      </w:r>
    </w:p>
    <w:p w14:paraId="2B292420" w14:textId="144B390D"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tôles de noue réalisées à partir de bandes complémentaires Prefalz (pour raccordement de couloir latéral) ; avec matériel de fixation et ajustage de tous les raccordements à la couverture PREFA. Les éléments (max. 3 000 mm) doivent être assemblés de manière à permettre une dilatation suffisante.</w:t>
      </w:r>
    </w:p>
    <w:p w14:paraId="645BB50B"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2D3D4389" w14:textId="1E2F365E"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 … mm</w:t>
      </w:r>
    </w:p>
    <w:p w14:paraId="22549EC3" w14:textId="2474FEE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 pc.</w:t>
      </w:r>
    </w:p>
    <w:p w14:paraId="235B56F7"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identique au produit principal</w:t>
      </w:r>
    </w:p>
    <w:p w14:paraId="0223F715"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38CAA0B2"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50838BC1"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619559B5"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399F527D"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302C682B"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32A4FC88" w14:textId="3F2F16BE"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01.04.17 Couloir réalisé à partir de bandes complémentaires Prefalz</w:t>
      </w:r>
    </w:p>
    <w:p w14:paraId="7E78CF1C"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couloirs réalisés à partir de bandes complémentaires Prefalz, avec renvoi d’eau (joint debout) de chaque côté du couloir ; avec matériel de fixation et ajustage de tous les raccordements à la couverture PREFA.</w:t>
      </w:r>
    </w:p>
    <w:p w14:paraId="7BAE5FFA"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6BA4EEEE" w14:textId="45D8F478"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Dimensions : … × … mm</w:t>
      </w:r>
    </w:p>
    <w:p w14:paraId="316F1D11"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identique au produit principal</w:t>
      </w:r>
    </w:p>
    <w:p w14:paraId="0EBAF1B7"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34D7B978"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52F30F14"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51964DFA"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0E3A5640"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6F0B9456"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2A46A533" w14:textId="6584751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01.04.18 Bavette réalisée à partir de bandes complémentaires Prefalz</w:t>
      </w:r>
    </w:p>
    <w:p w14:paraId="733C560A" w14:textId="1F07F804"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bavettes mises en œuvre à partir de bandes complémentaires Prefalz et destinées à réaliser les raccordements aux éléments constructifs de la toiture côté faîtage ; avec matériel de fixation et ajustage à la couverture PREFA. Les éléments (max. 3 000 mm) doivent être assemblés de manière à permettre une dilatation suffisante.</w:t>
      </w:r>
    </w:p>
    <w:p w14:paraId="6CBDA688"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42AA94A2" w14:textId="3FA71872"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 … mm</w:t>
      </w:r>
    </w:p>
    <w:p w14:paraId="2514F3FA" w14:textId="02D64DD1"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 pc.</w:t>
      </w:r>
    </w:p>
    <w:p w14:paraId="2FE09197"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identique au produit principal</w:t>
      </w:r>
    </w:p>
    <w:p w14:paraId="553E2A8A"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4CF2E46C"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1D31D97B"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1C70F9C9"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352B4D0A"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59375B3D"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3BB40E80"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01.04.19 Faîtière ventilée (autoportante)</w:t>
      </w:r>
    </w:p>
    <w:p w14:paraId="059D0817" w14:textId="25B63626"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faîtières ventilées PREFA (faîtières autoportantes et demi-rondes) pour la ventilation des lames d’air ; inclut le matériel de fixation (vis en acier inoxydable 4,5/60 mm, avec rondelle d’étanchéité) et l’ajustage à la couverture PREFA. Respecter les directives de pose PREFA.</w:t>
      </w:r>
    </w:p>
    <w:p w14:paraId="744C07AF"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23CFC0A8" w14:textId="4A9C1C91" w:rsidR="004B50AA" w:rsidRPr="00822E8D" w:rsidRDefault="00C87265"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Longueur des éléments : 3 000/1 200 mm</w:t>
      </w:r>
    </w:p>
    <w:p w14:paraId="741EBF13"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Section d’aération : 250 cm²/m</w:t>
      </w:r>
    </w:p>
    <w:p w14:paraId="5A953822" w14:textId="128DE531"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1,00 mm</w:t>
      </w:r>
    </w:p>
    <w:p w14:paraId="2997507C"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2CF7809C"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2E0DB92A"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5F854797"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171842B3"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8C39483"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22252402"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01.04.20 About de faîtière ventilée</w:t>
      </w:r>
    </w:p>
    <w:p w14:paraId="05E31FF8"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d’abouts de faîtière ventilée, demi-rondes, coupés droit ; avec matériel de fixation et ajustage à la faîtière ventilée. Respecter les directives de pose PREFA.</w:t>
      </w:r>
    </w:p>
    <w:p w14:paraId="754E2C41"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5304BE89" w14:textId="18059248"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1,00 mm</w:t>
      </w:r>
    </w:p>
    <w:p w14:paraId="780E7099"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5D028DD3"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4607B563"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30C679B9"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4938711E"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5586D9C"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7C71A7C0"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01.04.21 Mise en œuvre de faîtières et arêtiers (non ventilés)</w:t>
      </w:r>
    </w:p>
    <w:p w14:paraId="2F3D65CA" w14:textId="562026A0"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faîtières et arêtiers PREFA (demi-ronds, avec moulure) sur chevron existant ; inclut le matériel de fixation (vis en acier inoxydable 4,5/45 mm, avec rondelle d’étanchéité) ainsi que l’ajustage de la couverture PREFA à la panne faîtière ou au chevron d’arêtier (sur les deux côtés). Respecter les directives de pose PREFA.</w:t>
      </w:r>
    </w:p>
    <w:p w14:paraId="6176C5BB"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248C7E7D" w14:textId="2771ECE6"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Longueur : 500 mm</w:t>
      </w:r>
    </w:p>
    <w:p w14:paraId="3CDD35EF" w14:textId="280F383A"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1,00 mm</w:t>
      </w:r>
    </w:p>
    <w:p w14:paraId="0D6AF854"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5BC57492"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4115FEDF"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03DF9831"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33DE47D9"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71772493"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02C305F4"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0EC82082"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01.04.22 About de faîtière et d’arêtier (quart de sphère)</w:t>
      </w:r>
    </w:p>
    <w:p w14:paraId="2E93DDEB"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d’abouts de faîtière et d’arêtier PREFA (quart de sphère), avec matériel de fixation et ajustage à l’arêtier. Respecter les directives de pose PREFA.</w:t>
      </w:r>
    </w:p>
    <w:p w14:paraId="79B53DCF"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39112C4E" w14:textId="1CDB158B"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1,50 mm</w:t>
      </w:r>
    </w:p>
    <w:p w14:paraId="62DD7AC9"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65BC51AD"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04963FD4"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131B63A9"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1CCB145A"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35D87EE3"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4D889B2A" w14:textId="2B34C8F3"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01.04.23 Mise en œuvre de faîtières et arêtiers réalisés à partir de bandes complémentaires Prefalz</w:t>
      </w:r>
    </w:p>
    <w:p w14:paraId="0CB565CA" w14:textId="20388B0B"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tôles de faîtière et d’arêtier réalisées à partir de bandes complémentaires Prefalz ; pose sur chevron existant ; avec matériel de fixation et ajustage de tous les raccordements à la couverture PREFA (sur les deux côtés). Les éléments (max. 3 000 mm) doivent être assemblés de manière à permettre une dilatation suffisante.</w:t>
      </w:r>
    </w:p>
    <w:p w14:paraId="260EAD75"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1C212863"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Couleur : identique au produit principal</w:t>
      </w:r>
    </w:p>
    <w:p w14:paraId="3F17315C"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77CD76A0" w14:textId="6710B426"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0,70 mm</w:t>
      </w:r>
    </w:p>
    <w:p w14:paraId="204CE105" w14:textId="4142BF0F"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Dimension de coupe : … mm</w:t>
      </w:r>
    </w:p>
    <w:p w14:paraId="40615143" w14:textId="6538DB02"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Pliure : … pc.</w:t>
      </w:r>
    </w:p>
    <w:p w14:paraId="70774603"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2AC5D6A7"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02C89E5C"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656FF328"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12D0272B" w14:textId="67B511BE"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01.04.24 Raccord de faîtage de toit monopente réalisé à partir de bandes complémentaires Prefalz</w:t>
      </w:r>
    </w:p>
    <w:p w14:paraId="567B5ABC" w14:textId="3ECBB623"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raccords de faîtage de toit monopente réalisés à partir de bandes complémentaires Prefalz ; comprend le matériel de fixation, la bande d’accrochage, la bande d’aluminium perforée et l’ajustage à la couverture PREFA. Les éléments (max. 3 000 mm) doivent être assemblés de manière à permettre une dilatation suffisante.</w:t>
      </w:r>
    </w:p>
    <w:p w14:paraId="5554CE63"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317EA1FA"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Profil de recouvrement :</w:t>
      </w:r>
    </w:p>
    <w:p w14:paraId="6218D0E1" w14:textId="0393C1EF"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 … mm</w:t>
      </w:r>
    </w:p>
    <w:p w14:paraId="6D123881" w14:textId="3BA3C48E"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 pc.</w:t>
      </w:r>
    </w:p>
    <w:p w14:paraId="6F0E94DC"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identique au produit principal</w:t>
      </w:r>
    </w:p>
    <w:p w14:paraId="1D71C09F"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Couleur : identique au produit principal</w:t>
      </w:r>
    </w:p>
    <w:p w14:paraId="2FF7619D"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4068934F"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06E81E49"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1DE8F2B"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22272463"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01.04.25 Bande de rive (réalisée en usine)</w:t>
      </w:r>
    </w:p>
    <w:p w14:paraId="52ABB38B"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bandes de rive PREFA avec bandes d’accrochage ; avec matériel de fixation et ajustage à la couverture PREFA. Les éléments doivent être assemblés de manière à permettre une dilatation suffisante. Respecter les directives de pose PREFA.</w:t>
      </w:r>
    </w:p>
    <w:p w14:paraId="2013C393"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31429D58"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Bande de rive :</w:t>
      </w:r>
    </w:p>
    <w:p w14:paraId="639B029F" w14:textId="33D4955D"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Dimensions de coupe : 2 000 × 95 mm</w:t>
      </w:r>
    </w:p>
    <w:p w14:paraId="4CC07CCE" w14:textId="7CE05D38"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4 pc.</w:t>
      </w:r>
    </w:p>
    <w:p w14:paraId="0F80CC05" w14:textId="1022343F"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Épaisseur du matériau : 0,70 mm</w:t>
      </w:r>
    </w:p>
    <w:p w14:paraId="5B1FA5D8"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682A3AFD"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Bande d’accrochage :</w:t>
      </w:r>
    </w:p>
    <w:p w14:paraId="3725EEDA" w14:textId="0AE77E04"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Dimensions de coupe : 2 000 × 70 mm</w:t>
      </w:r>
    </w:p>
    <w:p w14:paraId="4548ED19" w14:textId="2F104DF5"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2 pc.</w:t>
      </w:r>
    </w:p>
    <w:p w14:paraId="19BCB200" w14:textId="3612F1F4"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Épaisseur du matériau : 1,0 mm</w:t>
      </w:r>
    </w:p>
    <w:p w14:paraId="77055C46"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23B1E510"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7AAD658F"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691E1B7A"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43111354"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011F4899"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2830C936"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72A3D5DC" w14:textId="66B7C013"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01.04.26 Bande de rive réalisée à partir de bandes complémentaires Prefalz</w:t>
      </w:r>
    </w:p>
    <w:p w14:paraId="12505BF0" w14:textId="28F19283"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bandes de rive réalisées à partir de bandes complémentaires Prefalz ; avec matériel de fixation et ajustage à la couverture PREFA. Les éléments (max. 3 000 mm) doivent être assemblés de manière à permettre une dilatation suffisante.</w:t>
      </w:r>
    </w:p>
    <w:p w14:paraId="2FE3BD90"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4EEBF9B4"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Bande de rive :</w:t>
      </w:r>
    </w:p>
    <w:p w14:paraId="4DD757AA" w14:textId="0AD643B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 … mm</w:t>
      </w:r>
    </w:p>
    <w:p w14:paraId="594AF677" w14:textId="456529F6"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 pc.</w:t>
      </w:r>
    </w:p>
    <w:p w14:paraId="2BDE07AD" w14:textId="1D9FF4B4"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Épaisseur du matériau : 0,70 mm</w:t>
      </w:r>
    </w:p>
    <w:p w14:paraId="7FD94685"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4D7351E1"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Bande d’accrochage :</w:t>
      </w:r>
    </w:p>
    <w:p w14:paraId="5C18FE6D" w14:textId="422D8292"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 … mm</w:t>
      </w:r>
    </w:p>
    <w:p w14:paraId="45E585B2" w14:textId="21A13C2D"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 pc.</w:t>
      </w:r>
    </w:p>
    <w:p w14:paraId="1146DF4C" w14:textId="2A6255D1"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Épaisseur du matériau : au moins 1,0 mm</w:t>
      </w:r>
    </w:p>
    <w:p w14:paraId="66F13415"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4E6802CA"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073FCE36"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35D6A464"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066D61B4"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2D49F3E9"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091EE9FF"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02037F88"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br w:type="page"/>
      </w:r>
      <w:r>
        <w:rPr>
          <w:rFonts w:ascii="Arial" w:hAnsi="Arial"/>
          <w:b/>
          <w:bCs/>
          <w:sz w:val="20"/>
          <w:szCs w:val="20"/>
        </w:rPr>
        <w:t>01.04.27 Losanges de toiture PREFA avec chapeau de raccordement pour chatière (raccordement d’aération)</w:t>
      </w:r>
    </w:p>
    <w:p w14:paraId="5B40381B"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losanges de toiture PREFA équipés de chapeaux de raccordement pour chatière afin de permettre la ventilation de la lame d’air (entrée et sortie d’air) ; avec perforation et partie supérieure fabriquée par emboutissage ; avec découpe des ouvertures dans la couverture et dans le voligeage.</w:t>
      </w:r>
    </w:p>
    <w:p w14:paraId="49B54A63"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4AF39BFE"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Section d’aération : 30 cm²</w:t>
      </w:r>
    </w:p>
    <w:p w14:paraId="7EB44BEA" w14:textId="53626ED0"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Dimensions : 290 × 290 mm</w:t>
      </w:r>
    </w:p>
    <w:p w14:paraId="65D15EBF" w14:textId="3BC8E863"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0,70 mm</w:t>
      </w:r>
    </w:p>
    <w:p w14:paraId="2C2CA047"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470D83EE"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6C8B2DE1"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326C0A93"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75DE6A5D"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70A35E21"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465F0B01"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01.04.28 Raccordement de ventilation pour losanges de toiture</w:t>
      </w:r>
    </w:p>
    <w:p w14:paraId="4735F84F"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raccordements de ventilation PREFA pour les pénétrations de tuyaux ; inclut la découpe de l’ouverture dans le voligeage et la mise en œuvre dans la couverture PREFA. Respecter les directives de pose PREFA.</w:t>
      </w:r>
    </w:p>
    <w:p w14:paraId="7C83CB75"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672142C2" w14:textId="6C48E1DD"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Pénétrations de tuyaux : diamètre compris entre 80 et 125 mm</w:t>
      </w:r>
    </w:p>
    <w:p w14:paraId="020B050A"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Pente de toit : entre 22° et 52°</w:t>
      </w:r>
    </w:p>
    <w:p w14:paraId="7BCD0E12"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identique au produit principal</w:t>
      </w:r>
    </w:p>
    <w:p w14:paraId="04A1C6A6"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4D4E8D52"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59905369"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10DCCE12"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01DA43BD"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2D6549CE"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21CD3AC2"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01.04.29 Raccordement universel</w:t>
      </w:r>
    </w:p>
    <w:p w14:paraId="5953E391"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raccordements universels composés de deux éléments (par exemple pour les raccordements d’antenne de télévision) ; avec mise en œuvre dans la couverture PREFA. Respecter les directives de pose PREFA.</w:t>
      </w:r>
    </w:p>
    <w:p w14:paraId="024E0945"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06C65C82" w14:textId="01269026"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Pénétrations de tuyaux : diamètre compris entre 40 et 120 mm</w:t>
      </w:r>
    </w:p>
    <w:p w14:paraId="02D7A2CD"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Pente de toit : entre 12° et 52°</w:t>
      </w:r>
    </w:p>
    <w:p w14:paraId="258D4617" w14:textId="7D63A56B"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0,70 mm</w:t>
      </w:r>
    </w:p>
    <w:p w14:paraId="37C6B0B6"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5C75FD39"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35805C02"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18568C93"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4B5BA0B1"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5309679"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04095037"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01.04.30 Tuyau de ventilation</w:t>
      </w:r>
    </w:p>
    <w:p w14:paraId="7457008E"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tuyaux de ventilation PREFA (fournis avec capuchon) ; comprend l’installation dans le raccordement de ventilation ainsi que l’étanchéification de la rosette. Respecter les directives de pose PREFA.</w:t>
      </w:r>
    </w:p>
    <w:p w14:paraId="48BD38BA"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1E361C34" w14:textId="621986FE"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Hauteur totale : 380 mm</w:t>
      </w:r>
    </w:p>
    <w:p w14:paraId="1CE4A832" w14:textId="1F94ABA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Diamètre : 100 mm, 120 mm</w:t>
      </w:r>
    </w:p>
    <w:p w14:paraId="0B154D93" w14:textId="3816872E"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1,00 mm</w:t>
      </w:r>
    </w:p>
    <w:p w14:paraId="4B4DB7D9"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7F92E98D"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4216D1BD"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007921E5"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421606B0"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620B6621"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6A59DD46"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br w:type="page"/>
      </w:r>
      <w:r>
        <w:rPr>
          <w:rFonts w:ascii="Arial" w:hAnsi="Arial"/>
          <w:b/>
          <w:bCs/>
          <w:sz w:val="20"/>
          <w:szCs w:val="20"/>
        </w:rPr>
        <w:t>01.04.31 Soufflet plissé</w:t>
      </w:r>
    </w:p>
    <w:p w14:paraId="148AA5BE"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soufflets plissés en EPDM à élasticité permanente pour l’assemblage de passages dans la sous-couverture. Respecter les directives de pose PREFA.</w:t>
      </w:r>
    </w:p>
    <w:p w14:paraId="26051F4D"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2D8E8612" w14:textId="3FFA64A4"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Diamètre : entre 100 et 130 mm</w:t>
      </w:r>
    </w:p>
    <w:p w14:paraId="4FBA23C0"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32FA53F8"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4874150E"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28588A43"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67BCED73" w14:textId="550F2085"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01.04.32 Abergement de cheminée et de conduit de ventilation</w:t>
      </w:r>
    </w:p>
    <w:p w14:paraId="55EE4F0F" w14:textId="3A35ED33"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d’abergements de conduits de cheminée et de conduits de ventilation réalisés à partir de bandes complémentaires Prefalz ; comprend l’abergement haut, l’abergement bas et les abergements latéraux (tôle relevée sur une hauteur d’environ 200 mm) ; avec installation et assemblage aux agrafures longitudinales et transversales. Pour les pénétrations dont la largeur est supérieure à 1,0 m, prévoir la mise en œuvre d’un coyau au niveau de l’abergement haut.</w:t>
      </w:r>
    </w:p>
    <w:p w14:paraId="325BDD13"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093CE797" w14:textId="5015AAE9"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Dimensions : … × … mm</w:t>
      </w:r>
    </w:p>
    <w:p w14:paraId="008D3C7D" w14:textId="49BF8194"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0,70 mm</w:t>
      </w:r>
    </w:p>
    <w:p w14:paraId="45563677"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17744FC5"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64250404"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7B180A48"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644F5D85"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53C3B0C6"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156186A1" w14:textId="287EC8F2"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01.04.33 Abergement de cheminée et de conduit de ventilation</w:t>
      </w:r>
    </w:p>
    <w:p w14:paraId="59769B24" w14:textId="33051A08"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d’abergements de conduits de cheminée et de conduits de ventilation réalisés à partir de bandes complémentaires Prefalz ; comprend l’abergement haut, l’abergement bas et les abergements latéraux (tôle relevée sur une hauteur d’environ 200 mm) ; avec installation et assemblage aux agrafures longitudinales et transversales. Pour les pénétrations dont la largeur est supérieure à 1,0 m, prévoir la mise en œuvre d’un coyau au niveau de l’abergement haut.</w:t>
      </w:r>
    </w:p>
    <w:p w14:paraId="362A86F3"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1887EE13" w14:textId="3E8433F5"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0,70 mm</w:t>
      </w:r>
    </w:p>
    <w:p w14:paraId="31C5018E"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6DD97655"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4A9D7B3D"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168D9D6B"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51DCC592"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D94589E"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5F18726C" w14:textId="5F8E7C4E"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01.04.34 Habillage de cheminée et de conduit de ventilation</w:t>
      </w:r>
    </w:p>
    <w:p w14:paraId="47EA8EF2"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d’habillages de cheminée et de conduits de ventilation ; habillages réalisés à partir de bandes complémentaires Prefalz. Fabrication des habillages (mise en œuvre par pliage) sur la base des mesures prises sur site (mesure prise jusqu’à la base de l’embranchement)</w:t>
      </w:r>
    </w:p>
    <w:p w14:paraId="0C7AC178"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5C5CCD1E" w14:textId="109D7233"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Dimensions : … × … × … mm</w:t>
      </w:r>
    </w:p>
    <w:p w14:paraId="6F35DE66" w14:textId="4FC1D595"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0,70 mm</w:t>
      </w:r>
    </w:p>
    <w:p w14:paraId="00A1DB7B"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5C6DAADD"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7640CE6E"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2F3C37B7"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343234BC"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051DCE31"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637BE2A0" w14:textId="587F98FF"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br w:type="page"/>
      </w:r>
      <w:r>
        <w:rPr>
          <w:rFonts w:ascii="Arial" w:hAnsi="Arial"/>
          <w:b/>
          <w:bCs/>
          <w:sz w:val="20"/>
          <w:szCs w:val="20"/>
        </w:rPr>
        <w:t>01.04.35 Habillage de cheminée et de conduit de ventilation</w:t>
      </w:r>
    </w:p>
    <w:p w14:paraId="22B1F024"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d’habillages de cheminée et de conduits de ventilation ; habillages réalisés à partir de bandes complémentaires Prefalz. Fabrication des habillages (mise en œuvre par pliage) sur la base des mesures prises sur site (mesure prise jusqu’à la base de l’embranchement)</w:t>
      </w:r>
    </w:p>
    <w:p w14:paraId="1F564AA7"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4C7ABDA3" w14:textId="5623D13B"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0,70 mm</w:t>
      </w:r>
    </w:p>
    <w:p w14:paraId="1BC9EF4F"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2CEE5C0D"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4F4E3AF5"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0738B9DA"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m²</w:t>
      </w:r>
      <w:r>
        <w:rPr>
          <w:rFonts w:ascii="Arial" w:hAnsi="Arial"/>
          <w:sz w:val="20"/>
          <w:szCs w:val="20"/>
        </w:rPr>
        <w:tab/>
        <w:t>PU _____________  PT _____________</w:t>
      </w:r>
    </w:p>
    <w:p w14:paraId="263E8270"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471EDCE7"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060D5812" w14:textId="2821C59D"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01.04.36 Chapeau de cheminée</w:t>
      </w:r>
    </w:p>
    <w:p w14:paraId="48F86F53"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chapeaux de cheminée réalisés à partir de bandes complémentaires Prefalz ; comprend la découpe, le sertissage et l’étanchéification des ouvertures.</w:t>
      </w:r>
    </w:p>
    <w:p w14:paraId="7DD3933F"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38C4DEC2" w14:textId="2DD2C7C8"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Dimensions : … × … mm</w:t>
      </w:r>
    </w:p>
    <w:p w14:paraId="73A29084" w14:textId="64D347DA"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0,70 mm</w:t>
      </w:r>
    </w:p>
    <w:p w14:paraId="3E8F0234"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0F544E40"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304A9A0F"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3904FCC1"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0F6140A6"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20F9CD30"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2A417CB6"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2D5A1687"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01.04.37 Chapeau de cheminée</w:t>
      </w:r>
    </w:p>
    <w:p w14:paraId="741F0CA9"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chapeaux de cheminée PREFA , fournis avec les pieds et les vis en acier inoxydable.</w:t>
      </w:r>
    </w:p>
    <w:p w14:paraId="6635A481"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32F4E578" w14:textId="5BA8CF2C"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2 mm</w:t>
      </w:r>
    </w:p>
    <w:p w14:paraId="7814090D"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alliage d’aluminium, revêtement thermolaqué</w:t>
      </w:r>
    </w:p>
    <w:p w14:paraId="33AC3D79"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Couleur : identique au produit principal</w:t>
      </w:r>
    </w:p>
    <w:p w14:paraId="71BF0746"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4886EABC" w14:textId="5E99563A" w:rsidR="00C6725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Dimensions : … × … mm</w:t>
      </w:r>
    </w:p>
    <w:p w14:paraId="7AE8141F" w14:textId="2BA003BD"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700 × 700 mm, 800 × 800 mm, 1 000 × 700 mm, 1 100 × 800 mm, 1 500 × 800 mm</w:t>
      </w:r>
    </w:p>
    <w:p w14:paraId="3458E3B2"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5123F602"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6BA19C77"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31FC7718"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3D71A2EB" w14:textId="4994304E"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01.04.38 Bande de solin fixée par joint mastic (solin)</w:t>
      </w:r>
    </w:p>
    <w:p w14:paraId="1EDAA8AE" w14:textId="74B346F5" w:rsidR="004B50AA" w:rsidRPr="003C6144" w:rsidRDefault="009D35F9"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bandes de solin fixées par joint mastic (solins) et réalisées à partir de bandes complémentaires Prefalz ; inclut le matériel de fixation (fixation au moyen de chevilles si nécessaire), l’étanchéification au moyen d’un mastic d’étanchéité à élasticité permanente, ainsi que la pose d’équerres de fixation dans le cas d’une isolation thermique extérieure (ITE). Les éléments (max. 3 000 mm) doivent être assemblés de manière à permettre une dilatation suffisante.</w:t>
      </w:r>
    </w:p>
    <w:p w14:paraId="4585DA9A"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3B20130C" w14:textId="2D0E9AFA"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 … mm</w:t>
      </w:r>
    </w:p>
    <w:p w14:paraId="588789AD" w14:textId="0B451E0A"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5 pc.</w:t>
      </w:r>
    </w:p>
    <w:p w14:paraId="62B99547" w14:textId="009054ED"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0,70 mm</w:t>
      </w:r>
    </w:p>
    <w:p w14:paraId="04A0A00F"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21291C12"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41268FFE"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7F6ED89D"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5A78FAF7"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6E40C05A"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452028BE"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7DC7D829" w14:textId="156E5493"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br w:type="page"/>
      </w:r>
      <w:r>
        <w:rPr>
          <w:rFonts w:ascii="Arial" w:hAnsi="Arial"/>
          <w:b/>
          <w:bCs/>
          <w:sz w:val="20"/>
          <w:szCs w:val="20"/>
        </w:rPr>
        <w:t>01.04.39 Bande de solin brevetée</w:t>
      </w:r>
    </w:p>
    <w:p w14:paraId="76BCA69C" w14:textId="77777777" w:rsidR="004B50AA" w:rsidRDefault="004B50AA" w:rsidP="00C67253">
      <w:pPr>
        <w:tabs>
          <w:tab w:val="left" w:pos="9072"/>
          <w:tab w:val="left" w:pos="14160"/>
          <w:tab w:val="left" w:pos="15576"/>
          <w:tab w:val="left" w:pos="16992"/>
          <w:tab w:val="left" w:pos="18408"/>
          <w:tab w:val="left" w:pos="19824"/>
          <w:tab w:val="left" w:pos="21240"/>
        </w:tabs>
        <w:autoSpaceDE w:val="0"/>
        <w:autoSpaceDN w:val="0"/>
        <w:adjustRightInd w:val="0"/>
        <w:ind w:right="1870"/>
        <w:rPr>
          <w:rFonts w:ascii="Arial" w:eastAsia="Times New Roman" w:hAnsi="Arial" w:cs="Arial"/>
          <w:sz w:val="20"/>
          <w:szCs w:val="20"/>
        </w:rPr>
      </w:pPr>
      <w:r>
        <w:rPr>
          <w:rFonts w:ascii="Arial" w:hAnsi="Arial"/>
          <w:sz w:val="20"/>
          <w:szCs w:val="20"/>
        </w:rPr>
        <w:t>Livraison et pose de bandes de solin brevetées réalisées à partir de bandes complémentaires Prefalz ; inclut le matériel de fixation (fixation au moyen de chevilles si nécessaire), l’étanchéification au moyen d’un mastic d’étanchéité à élasticité permanente, ainsi que la pose d’équerres de fixation dans le cas d’une isolation thermique extérieure (ITE).</w:t>
      </w:r>
    </w:p>
    <w:p w14:paraId="3E50A97B" w14:textId="77777777" w:rsidR="004B50AA" w:rsidRPr="003C6144" w:rsidRDefault="004B50AA" w:rsidP="00C67253">
      <w:pPr>
        <w:tabs>
          <w:tab w:val="left" w:pos="9072"/>
          <w:tab w:val="left" w:pos="14160"/>
          <w:tab w:val="left" w:pos="15576"/>
          <w:tab w:val="left" w:pos="16992"/>
          <w:tab w:val="left" w:pos="18408"/>
          <w:tab w:val="left" w:pos="19824"/>
          <w:tab w:val="left" w:pos="21240"/>
        </w:tabs>
        <w:autoSpaceDE w:val="0"/>
        <w:autoSpaceDN w:val="0"/>
        <w:adjustRightInd w:val="0"/>
        <w:ind w:right="1870"/>
        <w:rPr>
          <w:rFonts w:ascii="Arial" w:hAnsi="Arial" w:cs="Arial"/>
          <w:sz w:val="20"/>
          <w:lang w:val="x-none" w:eastAsia="x-none"/>
        </w:rPr>
      </w:pPr>
    </w:p>
    <w:p w14:paraId="3782A26F" w14:textId="4FF89EA2" w:rsidR="004B50AA" w:rsidRPr="00822E8D" w:rsidRDefault="004B50AA" w:rsidP="00C67253">
      <w:pPr>
        <w:tabs>
          <w:tab w:val="left" w:pos="9072"/>
          <w:tab w:val="left" w:pos="14160"/>
          <w:tab w:val="left" w:pos="15576"/>
          <w:tab w:val="left" w:pos="16992"/>
          <w:tab w:val="left" w:pos="18408"/>
          <w:tab w:val="left" w:pos="19824"/>
          <w:tab w:val="left" w:pos="21240"/>
        </w:tabs>
        <w:autoSpaceDE w:val="0"/>
        <w:autoSpaceDN w:val="0"/>
        <w:adjustRightInd w:val="0"/>
        <w:ind w:right="1870"/>
        <w:rPr>
          <w:rFonts w:ascii="Arial" w:hAnsi="Arial" w:cs="Arial"/>
          <w:sz w:val="20"/>
          <w:szCs w:val="20"/>
        </w:rPr>
      </w:pPr>
      <w:r>
        <w:rPr>
          <w:rFonts w:ascii="Arial" w:hAnsi="Arial"/>
          <w:sz w:val="20"/>
          <w:szCs w:val="20"/>
        </w:rPr>
        <w:t>Dimension de coupe : …… mm</w:t>
      </w:r>
    </w:p>
    <w:p w14:paraId="299E527E" w14:textId="4F106381" w:rsidR="004B50AA" w:rsidRPr="00822E8D" w:rsidRDefault="004B50AA" w:rsidP="00C67253">
      <w:pPr>
        <w:tabs>
          <w:tab w:val="left" w:pos="9072"/>
          <w:tab w:val="left" w:pos="14160"/>
          <w:tab w:val="left" w:pos="15576"/>
          <w:tab w:val="left" w:pos="16992"/>
          <w:tab w:val="left" w:pos="18408"/>
          <w:tab w:val="left" w:pos="19824"/>
          <w:tab w:val="left" w:pos="21240"/>
        </w:tabs>
        <w:autoSpaceDE w:val="0"/>
        <w:autoSpaceDN w:val="0"/>
        <w:adjustRightInd w:val="0"/>
        <w:ind w:right="1870"/>
        <w:rPr>
          <w:rFonts w:ascii="Arial" w:hAnsi="Arial" w:cs="Arial"/>
          <w:sz w:val="20"/>
          <w:szCs w:val="20"/>
        </w:rPr>
      </w:pPr>
      <w:r>
        <w:rPr>
          <w:rFonts w:ascii="Arial" w:hAnsi="Arial"/>
          <w:sz w:val="20"/>
          <w:szCs w:val="20"/>
        </w:rPr>
        <w:t>Pliure : 5 pc.</w:t>
      </w:r>
    </w:p>
    <w:p w14:paraId="39CF8144" w14:textId="35CD687D" w:rsidR="004B50AA" w:rsidRPr="00822E8D" w:rsidRDefault="004B50AA" w:rsidP="00C67253">
      <w:pPr>
        <w:tabs>
          <w:tab w:val="left" w:pos="9072"/>
          <w:tab w:val="left" w:pos="14160"/>
          <w:tab w:val="left" w:pos="15576"/>
          <w:tab w:val="left" w:pos="16992"/>
          <w:tab w:val="left" w:pos="18408"/>
          <w:tab w:val="left" w:pos="19824"/>
          <w:tab w:val="left" w:pos="21240"/>
        </w:tabs>
        <w:autoSpaceDE w:val="0"/>
        <w:autoSpaceDN w:val="0"/>
        <w:adjustRightInd w:val="0"/>
        <w:ind w:right="1870"/>
        <w:rPr>
          <w:rFonts w:ascii="Arial" w:hAnsi="Arial" w:cs="Arial"/>
          <w:sz w:val="20"/>
          <w:szCs w:val="20"/>
        </w:rPr>
      </w:pPr>
      <w:r>
        <w:rPr>
          <w:rFonts w:ascii="Arial" w:hAnsi="Arial"/>
          <w:sz w:val="20"/>
          <w:szCs w:val="20"/>
        </w:rPr>
        <w:t>Épaisseur du matériau : 0,70 mm</w:t>
      </w:r>
    </w:p>
    <w:p w14:paraId="689EF135" w14:textId="77777777" w:rsidR="004B50AA" w:rsidRPr="00822E8D" w:rsidRDefault="004B50AA" w:rsidP="00C67253">
      <w:pPr>
        <w:tabs>
          <w:tab w:val="left" w:pos="9072"/>
          <w:tab w:val="left" w:pos="14160"/>
          <w:tab w:val="left" w:pos="15576"/>
          <w:tab w:val="left" w:pos="16992"/>
          <w:tab w:val="left" w:pos="18408"/>
          <w:tab w:val="left" w:pos="19824"/>
          <w:tab w:val="left" w:pos="21240"/>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3498607C"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54BA53E8"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0B31C37A"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0F24CAC8"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1841B9F"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142468BF"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01.04.40 Tabatière</w:t>
      </w:r>
    </w:p>
    <w:p w14:paraId="53D333E3" w14:textId="1ED6934A"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Livraison et pose de tabatières PREFA pour combles et combles non chauffés ; fournies avec raccordement, châssis en bois, barre de réglage d’ouverture (avec clavette) ainsi que double vitrage en PVC translucide de 6 mm et joint d’étanchéité. Comprend l’ajustage à la couverture PREFA, la découpe de l’ouverture dans le voligeage intégral, ainsi que la fixation du châssis en bois. Respecter les directives de pose PREFA.</w:t>
      </w:r>
    </w:p>
    <w:p w14:paraId="687A76C3"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3D2AF4E0" w14:textId="4CC63989" w:rsidR="004B50AA" w:rsidRPr="00822E8D"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Dimensions : 600 × 600 mm (dimension intérieure)</w:t>
      </w:r>
    </w:p>
    <w:p w14:paraId="34010DA4"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2775255F"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54276A5A"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0727EB6C"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217F30DA"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2781F1E4"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01.04.41 Raccordement pour fenêtres de toit Velux</w:t>
      </w:r>
    </w:p>
    <w:p w14:paraId="3F297160"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bandes de raccordement PREFA pour fenêtres de toit Velux ; avec ajustage à la couverture PREFA. Respecter les directives de pose PREFA.</w:t>
      </w:r>
    </w:p>
    <w:p w14:paraId="33EF3689"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7B0BE442"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Fenêtre : avec cadre d’isolation thermique</w:t>
      </w:r>
    </w:p>
    <w:p w14:paraId="1240A48D"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54F57057"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Couleur : identique au produit principal</w:t>
      </w:r>
    </w:p>
    <w:p w14:paraId="66E39F82"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456B1944"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Dimensions : …</w:t>
      </w:r>
    </w:p>
    <w:p w14:paraId="38B513C7"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C02 55 × 78, C04 55 × 98, C06 55 × 118, F04 66 × 98, F06 66 × 118, F068 66 × 140, M04 78 × 98, M06 78 × 118, M08 78 × 140, M10 78 × 160, M12 78 × 180, P04 94 × 98, P06 94 × 118, P08 94 × 140, P.10 94 × 160, S06 114 × 118, S08 114 × 140, S10 114 × 160, U04 134 × 98, U08 134 × 140, U10 134 × 160</w:t>
      </w:r>
    </w:p>
    <w:p w14:paraId="15C49D7A"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32D9FF2D"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701F417A"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7A1FE73E"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34F73487"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0AA6F464"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br w:type="page"/>
      </w:r>
      <w:r>
        <w:rPr>
          <w:rFonts w:ascii="Arial" w:hAnsi="Arial"/>
          <w:b/>
          <w:bCs/>
          <w:sz w:val="20"/>
          <w:szCs w:val="20"/>
        </w:rPr>
        <w:t>01.04.42 Raccordement pour fenêtres de toit Roto</w:t>
      </w:r>
    </w:p>
    <w:p w14:paraId="41FA4F88"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bandes de raccordement PREFA pour fenêtres de toit Roto ; avec ajustage à la couverture PREFA. Respecter les directives de pose PREFA.</w:t>
      </w:r>
    </w:p>
    <w:p w14:paraId="3AC9FEE1"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7243DBD8"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Fenêtre : avec cadre d’isolation thermique</w:t>
      </w:r>
    </w:p>
    <w:p w14:paraId="3055F311"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6C5AA7EB"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Couleur : identique au produit principal</w:t>
      </w:r>
    </w:p>
    <w:p w14:paraId="6CE8CCEB"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3A0A389A"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Dimensions : …</w:t>
      </w:r>
    </w:p>
    <w:p w14:paraId="352A2EB5"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54 × 78, 54 × 98, 54 × 118, 65 × 98, 65 × 118, 65 × 140, 74 × 78, 74 × 98, 74 × 118, 74 × 140, 74 × 160, 94 × 78, 94 × 98, 94 × 118, 94 × 140, 94 × 160, 114 × 78, 114 × 98, 114 × 118, 114 × 140, 114 × 160, 134 × 78, 134 × 98, 134 × 140</w:t>
      </w:r>
    </w:p>
    <w:p w14:paraId="2E4EA986"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1ACA565E"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5F602213"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06080926"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7D53ACE6"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01.04.43 Raccordement pour fenêtres de toit Roto Q</w:t>
      </w:r>
    </w:p>
    <w:p w14:paraId="0E1CF94E"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bandes de raccordement PREFA pour fenêtres de toit Roto Q ; avec ajustage à la couverture PREFA.</w:t>
      </w:r>
    </w:p>
    <w:p w14:paraId="0894E1A8"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52A1A5F9"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Fenêtre : avec/sans cadre d’isolation thermique</w:t>
      </w:r>
    </w:p>
    <w:p w14:paraId="1E692749"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4314EF97"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Couleur : identique au produit principal</w:t>
      </w:r>
    </w:p>
    <w:p w14:paraId="1538460E"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2AE44487"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Dimensions : ……</w:t>
      </w:r>
    </w:p>
    <w:p w14:paraId="1225C6CA"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Q55 × 78, Q78 × 98, Q78 × 118, Q94 × 140, Q114 × 118, Q134 × 160</w:t>
      </w:r>
    </w:p>
    <w:p w14:paraId="4E47DB65"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35B88B62"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03C7F257"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28A8AEE0"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6A4994D9" w14:textId="10FDDB92"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01.04.44 Habillage de façade</w:t>
      </w:r>
    </w:p>
    <w:p w14:paraId="23E041FE" w14:textId="0EB44A4C"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Livraison et pose d’habillages de façade (pour les parties avant des bâtiments, les pignons et les lucarnes) ; comprend l’ajustage à la couverture PREFA ainsi que l’ensemble des solins et raccordements ; pour les losanges de toiture PREFA ou les bandes complémentaires Prefalz (joints angulaires).</w:t>
      </w:r>
    </w:p>
    <w:p w14:paraId="6D507C18"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Détails techniques : ……</w:t>
      </w:r>
    </w:p>
    <w:p w14:paraId="43B5A838"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2B033DCB"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identique au produit principal</w:t>
      </w:r>
    </w:p>
    <w:p w14:paraId="3666593B"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0F7A0706"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576C3BCF"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6E3F4ABD"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m²</w:t>
      </w:r>
      <w:r>
        <w:rPr>
          <w:rFonts w:ascii="Arial" w:hAnsi="Arial"/>
          <w:sz w:val="20"/>
          <w:szCs w:val="20"/>
        </w:rPr>
        <w:tab/>
        <w:t>PU _____________  PT _____________</w:t>
      </w:r>
    </w:p>
    <w:p w14:paraId="0D232D00"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98201B0"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2B87889E" w14:textId="4026CAEF"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01.04.45 Couronnement d’acrotère réalisé à partir de bandes complémentaires Prefalz</w:t>
      </w:r>
    </w:p>
    <w:p w14:paraId="0990DA69" w14:textId="15C7D38E"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Livraison et pose de couronnements d’acrotère réalisés à partir de bandes complémentaires Prefalz ; fournis avec bandes d’accrochage (sur les deux côtés) et matériel de fixation. Chaque élément sera découpé en respectant la dimension de coupe requise ; leur longueur ne devra toutefois pas excéder 3 000 mm.</w:t>
      </w:r>
    </w:p>
    <w:p w14:paraId="1517ACCA"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484C6F2A" w14:textId="5AB84D7E" w:rsidR="004B50AA" w:rsidRPr="00822E8D"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Dimension de coupe : … mm</w:t>
      </w:r>
    </w:p>
    <w:p w14:paraId="3751776C" w14:textId="48282A79" w:rsidR="00C67253"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Pliure : … pc.</w:t>
      </w:r>
    </w:p>
    <w:p w14:paraId="4B5F49EB" w14:textId="6E5BCA44" w:rsidR="004B50AA" w:rsidRPr="00822E8D"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Épaisseur du matériau : 0,70 mm</w:t>
      </w:r>
    </w:p>
    <w:p w14:paraId="21A3947D" w14:textId="77777777" w:rsidR="004B50AA" w:rsidRPr="00822E8D"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1B844A44"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Couleur : identique au produit principal</w:t>
      </w:r>
    </w:p>
    <w:p w14:paraId="3D21D7CA"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566025FD"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Types de raccordement : joint debout, pli d’accrochage, coulisseau ou support en tôle ondulée.</w:t>
      </w:r>
    </w:p>
    <w:p w14:paraId="419E514C"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71A1AA25"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62094FF7"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A4DA0C2"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2F1CE6C7" w14:textId="6E2D95D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01.04.46 Supplément pour acrotère arrondi (segments)</w:t>
      </w:r>
    </w:p>
    <w:p w14:paraId="02CE31E5"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Supplément appliqué à l’acrotère pour la mise en œuvre d’un acrotère arrondi composé de plusieurs segments.</w:t>
      </w:r>
    </w:p>
    <w:p w14:paraId="3B5CCA40"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71C7CB99"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18DA8EF7"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3AB603E"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3097DB14" w14:textId="010EE693"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01.04.47 Couvertine de bordure de toit angulaire réalisée à partir de bandes complémentaires Prefalz</w:t>
      </w:r>
    </w:p>
    <w:p w14:paraId="4CBC5CB7" w14:textId="2139F48E"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couvertines de bordures de toit angulaires réalisées à partir de bandes complémentaires Prefalz ; fournies avec bandes de départ et matériel de fixation. Chaque élément sera découpé en respectant la dimension de coupe requise ; leur longueur ne devra toutefois pas excéder 3 000 mm.</w:t>
      </w:r>
    </w:p>
    <w:p w14:paraId="713DB923"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67F459B1" w14:textId="7ED9CDC0"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Dimension de coupe : … mm</w:t>
      </w:r>
    </w:p>
    <w:p w14:paraId="2421BD62"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Pliure : … pc.</w:t>
      </w:r>
    </w:p>
    <w:p w14:paraId="3D6B2986" w14:textId="0652B8AB"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Épaisseur du matériau : 0,70 mm</w:t>
      </w:r>
    </w:p>
    <w:p w14:paraId="5324DA1D"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47D05B9B"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1F5737AE"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6FFFD70A"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44E989C0"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4E5672FA"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6585ADB2" w14:textId="0ECE7B8F"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01.04.48 Bavette de corniches et bandeaux de façade réalisée à partir de bandes complémentaires Prefalz</w:t>
      </w:r>
    </w:p>
    <w:p w14:paraId="54656D70" w14:textId="2C7AD145"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Livraison et pose de bavettes de corniches et bandeaux de façade réalisées à partir de bandes complémentaires Prefalz ; fournies avec bandes de départ et matériel de fixation. Chaque élément sera découpé en respectant la dimension de coupe requise ; leur longueur ne devra toutefois pas excéder 3 000 mm.</w:t>
      </w:r>
    </w:p>
    <w:p w14:paraId="5224517B"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5656B5D2" w14:textId="436A0C93" w:rsidR="004B50AA" w:rsidRPr="00822E8D"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Dimension de coupe : … mm</w:t>
      </w:r>
    </w:p>
    <w:p w14:paraId="578A26D5" w14:textId="77777777" w:rsidR="004B50AA" w:rsidRPr="00822E8D"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Pliure : … pc.</w:t>
      </w:r>
    </w:p>
    <w:p w14:paraId="6A00A8A5" w14:textId="51CE5F1E" w:rsidR="004B50AA" w:rsidRPr="00822E8D"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0,70 mm</w:t>
      </w:r>
    </w:p>
    <w:p w14:paraId="3652B808" w14:textId="77777777" w:rsidR="004B50AA" w:rsidRPr="00822E8D"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1E6AC893"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019D75B0"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10B8A2F4"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16501F18"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AC5A065"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2AA6F528"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01.04.49 Arrêts de neige pour losanges de toiture 29 × 29</w:t>
      </w:r>
    </w:p>
    <w:p w14:paraId="6217D309" w14:textId="356733B1"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d’arrêts de neige pour losanges de toiture 29 × 29. La pose s’effectue toujours en partant de l’égout pour terminer par le faîtage ; sur les deux premières rangées de l’avant-toit, on installera 1 arrêt de neige par losange de toiture. Le nombre des arrêts de neige à installer est défini sur la base des calculs statiques effectués. Respecter les directives de pose PREFA.</w:t>
      </w:r>
    </w:p>
    <w:p w14:paraId="4707FE1D"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18AC67AB"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Qualité du matériau : identique au produit principal</w:t>
      </w:r>
    </w:p>
    <w:p w14:paraId="2911C963"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2A67B2A2"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673CB842"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1F7599CA"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7D999DBD"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0945672E"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br w:type="page"/>
      </w:r>
      <w:r>
        <w:rPr>
          <w:rFonts w:ascii="Arial" w:hAnsi="Arial"/>
          <w:b/>
          <w:bCs/>
          <w:sz w:val="20"/>
          <w:szCs w:val="20"/>
        </w:rPr>
        <w:t>01.04.50 Système pare-neige</w:t>
      </w:r>
    </w:p>
    <w:p w14:paraId="46940B94"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d’un système pare-neige PREFA ; comprend le matériel de fixation et, si nécessaire, la pose d’une plaque de support. La disposition du système pare-neige est définie sur la base des calculs statiques effectués. Respecter les directives de pose PREFA.</w:t>
      </w:r>
    </w:p>
    <w:p w14:paraId="388D0BA0"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1603D152" w14:textId="361857F4"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Système pare-neige : 205 × 50 × 300 mm (H × L × P) ; fourni avec glissière de fixation, deux platines avec joints d’étanchéité (diamètre extérieur : 87 mm), matériel de fixation et caches de protection.</w:t>
      </w:r>
    </w:p>
    <w:p w14:paraId="2B81E240" w14:textId="13A73774"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Trous de passage : barre avec manchon de raccordement ; 3 pc. ; longueur : 3 000 mm</w:t>
      </w:r>
    </w:p>
    <w:p w14:paraId="30D17237"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Les éléments terminaux PREFA sont à monter aux deux extrémités du système pare-neige.</w:t>
      </w:r>
    </w:p>
    <w:p w14:paraId="6E176DF6"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13E2693C"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Matériau : aluminium, revêtement thermolaqué</w:t>
      </w:r>
    </w:p>
    <w:p w14:paraId="6FEBE7CE"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Couleur : identique au produit principal</w:t>
      </w:r>
    </w:p>
    <w:p w14:paraId="4828AED7"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5BC84240"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2CA26A6B"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6DD94430"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4319E3EB" w14:textId="5E1B9E69"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01.04.51 Supplément pour arrêts-glace (système pare-neige)</w:t>
      </w:r>
    </w:p>
    <w:p w14:paraId="53497939" w14:textId="0827AECB"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Arrêts-glace pour le système pare-neige ; env. 4 par mètre.</w:t>
      </w:r>
    </w:p>
    <w:p w14:paraId="44BC6B27"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0B67A325"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Matériau : aluminium, revêtement thermolaqué</w:t>
      </w:r>
    </w:p>
    <w:p w14:paraId="21EA6C1B"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Couleur : identique au produit principal</w:t>
      </w:r>
    </w:p>
    <w:p w14:paraId="3941FAFC"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334671B6"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308516A1"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7CC1EB36"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366976D2"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01.04.52 Système pare-neige</w:t>
      </w:r>
    </w:p>
    <w:p w14:paraId="0700280A"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d’un système pare-neige PREFA ; comprend le matériel de fixation, le mastic d’étanchéité ainsi que la pose d’une plaque de support. La disposition du système pare-neige est définie sur la base des calculs statiques effectués. Respecter les directives de pose PREFA.</w:t>
      </w:r>
    </w:p>
    <w:p w14:paraId="2C0CC1A1"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006D0799" w14:textId="6251B091"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Crochets pour tubes pare-neige: 30/7 mm, en aluminium trempé</w:t>
      </w:r>
    </w:p>
    <w:p w14:paraId="71C91E58" w14:textId="3FA44A9C"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sz w:val="20"/>
          <w:szCs w:val="20"/>
        </w:rPr>
        <w:t xml:space="preserve">Trous de passage : tubes (15 mm </w:t>
      </w:r>
      <w:r>
        <w:rPr>
          <w:rFonts w:ascii="Arial" w:hAnsi="Arial"/>
          <w:sz w:val="20"/>
          <w:szCs w:val="20"/>
        </w:rPr>
        <w:t>⌀</w:t>
      </w:r>
      <w:r>
        <w:rPr>
          <w:sz w:val="20"/>
          <w:szCs w:val="20"/>
        </w:rPr>
        <w:t>) ; 3 pc. ; longueur : 3 000 mm</w:t>
      </w:r>
    </w:p>
    <w:p w14:paraId="4B9E04CA" w14:textId="6F86DAF5"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Douilles d’assemblage : 15 mm (diamètre intérieur)</w:t>
      </w:r>
    </w:p>
    <w:p w14:paraId="082A9147"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Les éléments terminaux PREFA sont à monter aux deux extrémités du système pare-neige.</w:t>
      </w:r>
    </w:p>
    <w:p w14:paraId="641406BD"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6F537878"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Matériau : aluminium, revêtement thermolaqué</w:t>
      </w:r>
    </w:p>
    <w:p w14:paraId="70417E70"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Couleur : identique au produit principal</w:t>
      </w:r>
    </w:p>
    <w:p w14:paraId="1B9C8FCB"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60451105"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54AAE872"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3BA45261"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29F91B79"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br w:type="page"/>
      </w:r>
      <w:r>
        <w:rPr>
          <w:rFonts w:ascii="Arial" w:hAnsi="Arial"/>
          <w:b/>
          <w:bCs/>
          <w:sz w:val="20"/>
          <w:szCs w:val="20"/>
        </w:rPr>
        <w:t>01.04.53 Support de pare-neige pour rondins</w:t>
      </w:r>
    </w:p>
    <w:p w14:paraId="549FA854"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Livraison et pose de supports de pare-neige pour rondins ; comprend le matériel de fixation et, si nécessaire, la pose d’une plaque de support. La disposition des supports de pare-neige pour rondins est définie sur la base des calculs statiques effectués. Respecter les directives de pose PREFA.</w:t>
      </w:r>
    </w:p>
    <w:p w14:paraId="0C098146"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63B11D57" w14:textId="0BBE3D41" w:rsidR="004B50AA" w:rsidRPr="00822E8D"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Support de pare-neige pour rondins (300 × 246 mm) ; fourni avec deux platines et joints d’étanchéité (diamètre extérieur : 87 mm), matériel de fixation et caches de protection.</w:t>
      </w:r>
    </w:p>
    <w:p w14:paraId="1CBF7450" w14:textId="75DA1C39"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Trous de passage : rondins d’environ 140 mm de diamètre</w:t>
      </w:r>
    </w:p>
    <w:p w14:paraId="77DDF581"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19204AE7" w14:textId="77777777" w:rsidR="004B50AA" w:rsidRPr="00822E8D"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Matériau : aluminium, revêtement thermolaqué</w:t>
      </w:r>
    </w:p>
    <w:p w14:paraId="06E64F45" w14:textId="77777777" w:rsidR="004B50AA" w:rsidRPr="00822E8D"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Couleur : identique au produit principal</w:t>
      </w:r>
    </w:p>
    <w:p w14:paraId="4C7BCB41"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44315780"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33F6B001"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19CADC6D"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676EEB5"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6BB05691"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01.04.54 Crochet de sécurité (conforme à la norme EN 517 B, monté sur platines)</w:t>
      </w:r>
    </w:p>
    <w:p w14:paraId="66F5D715" w14:textId="17388C9F"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crochets de sécurité PREFA montés sur platine et conformes à la norme EN 517 B ; crochets de sécurité autorisés pour deux personnes. Crochets de sécurité comprenant deux platines avec joints d’étanchéité (diamètre extérieur : 87 mm) ; matériel de fixation et caches : couleur gris souris. Pose d’une plaque de support si nécessaire. Respecter les directives de pose PREFA.</w:t>
      </w:r>
    </w:p>
    <w:p w14:paraId="00493BBE"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148585D9" w14:textId="77777777" w:rsidR="00C6725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Les crochets de sécurité sont conçus et disposés conformément à la réglementation relative à la prévention des accidents en vigueur dans chaque pays et aux exigences spécifiques posées par chacun des bâtiments.</w:t>
      </w:r>
    </w:p>
    <w:p w14:paraId="616C948C"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1D8BA858"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Matériau : acier inoxydable</w:t>
      </w:r>
    </w:p>
    <w:p w14:paraId="11C5E9B9"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Couleur : acier inoxydable / gris souris</w:t>
      </w:r>
    </w:p>
    <w:p w14:paraId="70A4290F"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64C80FE5"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6A16B050"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0376CB07"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7F577679"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01.04.55 Crochet de sécurité (conforme à la norme EN 517 B)</w:t>
      </w:r>
    </w:p>
    <w:p w14:paraId="5969033B"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crochets de sécurité PREFA comme points d’ancrage unique ; conformes à la norme EN 517 B ; crochets de sécurité autorisés pour une personne. Avec caches de protection, matériel de fixation et mastic d’étanchéité, ainsi que pose d’une plaque de support. Respecter les directives de pose PREFA.</w:t>
      </w:r>
    </w:p>
    <w:p w14:paraId="2CADD144"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2341E796" w14:textId="77777777" w:rsidR="00C67253"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Les crochets de sécurité sont conçus et disposés conformément à la réglementation relative à la prévention des accidents en vigueur dans chaque pays et aux exigences spécifiques posées par chacun des bâtiments.</w:t>
      </w:r>
    </w:p>
    <w:p w14:paraId="325E1CB7"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5F806D4C"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Matériau : acier galvanisé, revêtement thermolaqué</w:t>
      </w:r>
    </w:p>
    <w:p w14:paraId="5CEDEE20"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Couleur : identique au produit principal</w:t>
      </w:r>
    </w:p>
    <w:p w14:paraId="2ED52295"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419C899E"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2D5843EC"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2E328030"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626C87E7"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br w:type="page"/>
      </w:r>
      <w:r>
        <w:rPr>
          <w:rFonts w:ascii="Arial" w:hAnsi="Arial"/>
          <w:b/>
          <w:bCs/>
          <w:sz w:val="20"/>
          <w:szCs w:val="20"/>
        </w:rPr>
        <w:t>01.04.56 Support solaire</w:t>
      </w:r>
    </w:p>
    <w:p w14:paraId="78A69A48"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Livraison et pose de supports de panneaux solaires destinés à la fixation de panneaux solaires sur les toitures PREFA. Avec cache de protection, matériel de fixation et mastic d’étanchéité, ainsi que pose d’une plaque de support. Le nombre des supports solaires et la distance qui les sépare sont définis sur la base des calculs statiques effectués. Respecter les directives de pose PREFA.</w:t>
      </w:r>
    </w:p>
    <w:p w14:paraId="2A79B58B"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1A3652DD" w14:textId="51EA8F8C" w:rsidR="004B50AA" w:rsidRPr="00822E8D"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Dimensions : 63 × 260 mm</w:t>
      </w:r>
    </w:p>
    <w:p w14:paraId="3115B90F" w14:textId="2B111F68" w:rsidR="004B50AA" w:rsidRPr="00822E8D"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Épaisseur du matériau : 5 mm</w:t>
      </w:r>
    </w:p>
    <w:p w14:paraId="296946F2" w14:textId="77777777" w:rsidR="004B50AA" w:rsidRPr="00822E8D"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Matériau : aluminium</w:t>
      </w:r>
    </w:p>
    <w:p w14:paraId="46D38B3A"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 revêtement thermolaqué</w:t>
      </w:r>
    </w:p>
    <w:p w14:paraId="3C911DB1"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262CDF2D"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227A8CF4"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527E2AAE"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4D383E56"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01.04.57 Support de panneau solaire Sunny</w:t>
      </w:r>
    </w:p>
    <w:p w14:paraId="01BC3D04"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supports de panneaux solaires Sunny destinés à la fixation de panneaux solaires sur les toitures PREFA. Fournis avec le kit d’assemblage PREFA pour l’assemblage du cache de protection. Le nombre des supports solaires et la distance qui les sépare sont définis sur la base des calculs statiques effectués. Pose d’une plaque de support si nécessaire. Respecter les directives de pose PREFA.</w:t>
      </w:r>
    </w:p>
    <w:p w14:paraId="2D7D78C7"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418F3839" w14:textId="3F2273A5"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szCs w:val="20"/>
        </w:rPr>
      </w:pPr>
      <w:r>
        <w:rPr>
          <w:rFonts w:ascii="Arial" w:hAnsi="Arial"/>
          <w:sz w:val="20"/>
          <w:szCs w:val="20"/>
        </w:rPr>
        <w:t>Vis de fixation : STS M12 350 mm, aluminium naturel</w:t>
      </w:r>
    </w:p>
    <w:p w14:paraId="2E6CA997" w14:textId="59F837EE"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Cache de protection : gris de zinc, revêtement thermolaqué, aluminium de 1,20 mm</w:t>
      </w:r>
    </w:p>
    <w:p w14:paraId="19B2D941"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7D454C74"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66930708"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3181B8B7"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58981327"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01.04.58 Chemins de circulation</w:t>
      </w:r>
    </w:p>
    <w:p w14:paraId="5D23B4BB"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Livraison et pose d’un chemin de circulation PREFA ; comprend le cache de protection, le matériel de fixation, le mastic d’étanchéité et la pose d’une plaque de support. Respecter les directives de pose PREFA.</w:t>
      </w:r>
    </w:p>
    <w:p w14:paraId="3DD9438C"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530134FD" w14:textId="55FEC2FB" w:rsidR="004B50AA" w:rsidRPr="00822E8D" w:rsidRDefault="004B50AA" w:rsidP="00C67253">
      <w:pPr>
        <w:widowControl w:val="0"/>
        <w:tabs>
          <w:tab w:val="left" w:pos="4536"/>
          <w:tab w:val="left" w:pos="9072"/>
          <w:tab w:val="left" w:pos="13608"/>
        </w:tabs>
        <w:autoSpaceDE w:val="0"/>
        <w:autoSpaceDN w:val="0"/>
        <w:adjustRightInd w:val="0"/>
        <w:ind w:right="1870"/>
        <w:rPr>
          <w:rFonts w:ascii="Arial" w:eastAsia="Times New Roman" w:hAnsi="Arial" w:cs="Arial"/>
          <w:sz w:val="20"/>
          <w:szCs w:val="20"/>
        </w:rPr>
      </w:pPr>
      <w:r>
        <w:rPr>
          <w:rFonts w:ascii="Arial" w:hAnsi="Arial"/>
          <w:sz w:val="20"/>
          <w:szCs w:val="20"/>
        </w:rPr>
        <w:t>Support de chemin de circulation : 250 mm (écartement entre les supports : max. 900 mm) ; avec cache, inclinaison réglable pour pentes de toits comprises entre 12° et 55°.</w:t>
      </w:r>
    </w:p>
    <w:p w14:paraId="705AB3A9" w14:textId="151C4C50"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Chemin de circulation : 250 × 420/600/800/1 200 mm ; avec matériel de fixation et éléments d’assemblage pour chemins de circulation.</w:t>
      </w:r>
    </w:p>
    <w:p w14:paraId="62AB4DDB"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60D6C750" w14:textId="77777777" w:rsidR="004B50AA" w:rsidRPr="00822E8D"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Matériau : acier galvanisé, revêtement thermolaqué</w:t>
      </w:r>
    </w:p>
    <w:p w14:paraId="2AA93276"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Couleur : identique au produit principal</w:t>
      </w:r>
    </w:p>
    <w:p w14:paraId="3801B002"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33CA2015"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m</w:t>
      </w:r>
      <w:r>
        <w:rPr>
          <w:rFonts w:ascii="Arial" w:hAnsi="Arial"/>
          <w:sz w:val="20"/>
          <w:szCs w:val="20"/>
        </w:rPr>
        <w:tab/>
        <w:t>PU _____________  PT _____________</w:t>
      </w:r>
    </w:p>
    <w:p w14:paraId="6C3D99EC"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246D9D7"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431FBE2F"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b/>
          <w:bCs/>
          <w:sz w:val="20"/>
          <w:szCs w:val="20"/>
        </w:rPr>
      </w:pPr>
      <w:r>
        <w:rPr>
          <w:rFonts w:ascii="Arial" w:hAnsi="Arial"/>
          <w:b/>
          <w:bCs/>
          <w:sz w:val="20"/>
          <w:szCs w:val="20"/>
        </w:rPr>
        <w:t>01.04.59 Supports de chemin de circulation (marchepieds)</w:t>
      </w:r>
    </w:p>
    <w:p w14:paraId="33CFE9F1"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rPr>
      </w:pPr>
      <w:r>
        <w:rPr>
          <w:rFonts w:ascii="Arial" w:hAnsi="Arial"/>
          <w:sz w:val="20"/>
          <w:szCs w:val="20"/>
        </w:rPr>
        <w:t>Livraison et pose de supports de chemin de circulation PREFA ; comprend le cache de protection, le matériel de fixation, le mastic d’étanchéité et la pose d’une plaque de support. Respecter les directives de pose PREFA.</w:t>
      </w:r>
    </w:p>
    <w:p w14:paraId="4A4E865C" w14:textId="77777777" w:rsidR="004B50AA" w:rsidRPr="003C6144"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hAnsi="Arial" w:cs="Arial"/>
          <w:sz w:val="20"/>
          <w:lang w:val="x-none" w:eastAsia="x-none"/>
        </w:rPr>
      </w:pPr>
    </w:p>
    <w:p w14:paraId="41856006" w14:textId="141C970C"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Support de chemin de circulation : deux éléments de 250 mm (écartement entre les supports : max. 900 mm), avec cache, inclinaison réglable pour pentes de toits comprises entre 12° et 55°.</w:t>
      </w:r>
    </w:p>
    <w:p w14:paraId="34C18F89" w14:textId="26D0C30D"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Chemin de circulation : 250 × 420/600/800 mm ; avec matériel de fixation.</w:t>
      </w:r>
    </w:p>
    <w:p w14:paraId="00AC4DF2" w14:textId="77777777" w:rsidR="004B50AA" w:rsidRPr="00822E8D" w:rsidRDefault="004B50AA" w:rsidP="00C67253">
      <w:pPr>
        <w:widowControl w:val="0"/>
        <w:tabs>
          <w:tab w:val="left" w:pos="2268"/>
          <w:tab w:val="left" w:pos="4536"/>
          <w:tab w:val="left" w:pos="6804"/>
          <w:tab w:val="left" w:pos="9072"/>
          <w:tab w:val="left" w:pos="11340"/>
          <w:tab w:val="left" w:pos="13608"/>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Matériau : acier galvanisé, revêtement thermolaqué</w:t>
      </w:r>
    </w:p>
    <w:p w14:paraId="6D36E1DA"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rPr>
      </w:pPr>
      <w:r>
        <w:rPr>
          <w:rFonts w:ascii="Arial" w:hAnsi="Arial"/>
          <w:sz w:val="20"/>
          <w:szCs w:val="20"/>
        </w:rPr>
        <w:t>Couleur : identique au produit principal</w:t>
      </w:r>
    </w:p>
    <w:p w14:paraId="6D835717"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eastAsia="Times New Roman" w:hAnsi="Arial" w:cs="Arial"/>
          <w:sz w:val="20"/>
          <w:szCs w:val="20"/>
          <w:lang w:val="x-none" w:eastAsia="x-none"/>
        </w:rPr>
      </w:pPr>
    </w:p>
    <w:p w14:paraId="62B0EC23"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385FF260"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53E229C9"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2669E6DA"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01.04.60 Marche de toit</w:t>
      </w:r>
    </w:p>
    <w:p w14:paraId="47CA0313" w14:textId="3723AE93"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rPr>
      </w:pPr>
      <w:r>
        <w:rPr>
          <w:rFonts w:ascii="Arial" w:hAnsi="Arial"/>
          <w:sz w:val="20"/>
          <w:szCs w:val="20"/>
        </w:rPr>
        <w:t>Livraison et pose de marches de toit PREFA, composée de deux platines avec joints d’étanchéité (diamètre extérieur : 87 mm), matériel de fixation et caches de protection, inclinaison réglable pour pentes de toits comprises entre 12° et 60°. Pose d’une plaque de support si nécessaire. Respecter les directives de pose PREFA.</w:t>
      </w:r>
    </w:p>
    <w:p w14:paraId="2BE4CD7D" w14:textId="77777777" w:rsidR="004B50AA" w:rsidRPr="003C6144" w:rsidRDefault="004B50AA" w:rsidP="00C67253">
      <w:pPr>
        <w:widowControl w:val="0"/>
        <w:tabs>
          <w:tab w:val="left" w:pos="4536"/>
          <w:tab w:val="left" w:pos="9072"/>
          <w:tab w:val="left" w:pos="13608"/>
        </w:tabs>
        <w:autoSpaceDE w:val="0"/>
        <w:autoSpaceDN w:val="0"/>
        <w:adjustRightInd w:val="0"/>
        <w:ind w:right="1870"/>
        <w:rPr>
          <w:rFonts w:ascii="Arial" w:hAnsi="Arial" w:cs="Arial"/>
          <w:sz w:val="20"/>
          <w:lang w:val="x-none" w:eastAsia="x-none"/>
        </w:rPr>
      </w:pPr>
    </w:p>
    <w:p w14:paraId="03AC093C" w14:textId="77777777" w:rsidR="004B50AA" w:rsidRPr="00822E8D" w:rsidRDefault="004B50AA" w:rsidP="00C67253">
      <w:pPr>
        <w:widowControl w:val="0"/>
        <w:tabs>
          <w:tab w:val="left" w:pos="4536"/>
          <w:tab w:val="left" w:pos="9072"/>
          <w:tab w:val="left" w:pos="13608"/>
        </w:tabs>
        <w:autoSpaceDE w:val="0"/>
        <w:autoSpaceDN w:val="0"/>
        <w:adjustRightInd w:val="0"/>
        <w:ind w:right="1870"/>
        <w:rPr>
          <w:rFonts w:ascii="Arial" w:hAnsi="Arial" w:cs="Arial"/>
          <w:sz w:val="20"/>
          <w:szCs w:val="20"/>
        </w:rPr>
      </w:pPr>
      <w:r>
        <w:rPr>
          <w:rFonts w:ascii="Arial" w:hAnsi="Arial"/>
          <w:sz w:val="20"/>
          <w:szCs w:val="20"/>
        </w:rPr>
        <w:t>Matériau : aluminium, revêtement thermolaqué</w:t>
      </w:r>
    </w:p>
    <w:p w14:paraId="79EAE795"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Couleur : identique au produit principal</w:t>
      </w:r>
    </w:p>
    <w:p w14:paraId="43C34673"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3572856A" w14:textId="77777777"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pc.</w:t>
      </w:r>
      <w:r>
        <w:rPr>
          <w:rFonts w:ascii="Arial" w:hAnsi="Arial"/>
          <w:sz w:val="20"/>
          <w:szCs w:val="20"/>
        </w:rPr>
        <w:tab/>
        <w:t>PU _____________  PT _____________</w:t>
      </w:r>
    </w:p>
    <w:p w14:paraId="057512F8"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7765774D"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0A9EC28E" w14:textId="5CC6EB94"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01.04.61 Facturation en régie — Nombre d’heures d’ouvriers qualifiés</w:t>
      </w:r>
    </w:p>
    <w:p w14:paraId="079A858D"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Facturation en régie — Nombre d’heures d’ouvriers qualifiés</w:t>
      </w:r>
    </w:p>
    <w:p w14:paraId="4E021C08"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41FA4662" w14:textId="4B221955"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h</w:t>
      </w:r>
      <w:r>
        <w:rPr>
          <w:rFonts w:ascii="Arial" w:hAnsi="Arial"/>
          <w:sz w:val="20"/>
          <w:szCs w:val="20"/>
        </w:rPr>
        <w:tab/>
        <w:t>PU _____________  PT _____________</w:t>
      </w:r>
    </w:p>
    <w:p w14:paraId="396AF186"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56C065F0"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2E13943C" w14:textId="36EAA810"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sz w:val="20"/>
          <w:szCs w:val="20"/>
        </w:rPr>
      </w:pPr>
      <w:r>
        <w:rPr>
          <w:rFonts w:ascii="Arial" w:hAnsi="Arial"/>
          <w:b/>
          <w:bCs/>
          <w:sz w:val="20"/>
          <w:szCs w:val="20"/>
        </w:rPr>
        <w:t>01.04.62 Facturation en régie — Nombre d’heures de manœuvres</w:t>
      </w:r>
    </w:p>
    <w:p w14:paraId="402A98CA" w14:textId="77777777" w:rsidR="00C67253"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sz w:val="20"/>
          <w:szCs w:val="20"/>
        </w:rPr>
        <w:t>Facturation en régie — Nombre d’heures de manœuvres</w:t>
      </w:r>
    </w:p>
    <w:p w14:paraId="3D3452CD"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1B595F03" w14:textId="4FAF97BC" w:rsidR="004B50AA" w:rsidRPr="00822E8D" w:rsidRDefault="004B50AA" w:rsidP="00B26D16">
      <w:pPr>
        <w:widowControl w:val="0"/>
        <w:tabs>
          <w:tab w:val="left" w:pos="3119"/>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rPr>
      </w:pPr>
      <w:r>
        <w:rPr>
          <w:rFonts w:ascii="Arial" w:hAnsi="Arial"/>
          <w:b/>
          <w:bCs/>
          <w:sz w:val="20"/>
          <w:szCs w:val="20"/>
        </w:rPr>
        <w:t>0,000 h</w:t>
      </w:r>
      <w:r>
        <w:rPr>
          <w:rFonts w:ascii="Arial" w:hAnsi="Arial"/>
          <w:sz w:val="20"/>
          <w:szCs w:val="20"/>
        </w:rPr>
        <w:tab/>
        <w:t>PU _____________  PT _____________</w:t>
      </w:r>
    </w:p>
    <w:p w14:paraId="4E9EB614"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39BBFBC0"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jc w:val="right"/>
        <w:rPr>
          <w:rFonts w:ascii="Arial" w:hAnsi="Arial" w:cs="Arial"/>
          <w:sz w:val="20"/>
          <w:lang w:val="x-none" w:eastAsia="x-none"/>
        </w:rPr>
      </w:pPr>
    </w:p>
    <w:p w14:paraId="7BB5D075" w14:textId="77777777" w:rsidR="004B50AA" w:rsidRPr="008D0A34"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jc w:val="right"/>
        <w:rPr>
          <w:rFonts w:ascii="Arial" w:hAnsi="Arial" w:cs="Arial"/>
          <w:b/>
          <w:bCs/>
        </w:rPr>
      </w:pPr>
      <w:r>
        <w:rPr>
          <w:rFonts w:ascii="Arial" w:hAnsi="Arial"/>
          <w:b/>
          <w:bCs/>
        </w:rPr>
        <w:t>Titre 01.04 Losange de toiture 29 × 29 PT ____________</w:t>
      </w:r>
    </w:p>
    <w:p w14:paraId="090B254C" w14:textId="77777777" w:rsidR="004B50AA" w:rsidRPr="003C6144"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jc w:val="right"/>
        <w:rPr>
          <w:rFonts w:ascii="Arial" w:hAnsi="Arial" w:cs="Arial"/>
          <w:b/>
          <w:bCs/>
          <w:sz w:val="20"/>
        </w:rPr>
      </w:pPr>
      <w:r>
        <w:rPr>
          <w:rFonts w:ascii="Arial" w:hAnsi="Arial"/>
          <w:b/>
          <w:bCs/>
          <w:sz w:val="20"/>
        </w:rPr>
        <w:br w:type="page"/>
        <w:t>  </w:t>
      </w:r>
    </w:p>
    <w:p w14:paraId="0BA293C7" w14:textId="77777777" w:rsidR="004B50AA" w:rsidRPr="008D0A34"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rPr>
      </w:pPr>
      <w:r>
        <w:rPr>
          <w:rFonts w:ascii="Arial" w:hAnsi="Arial"/>
          <w:b/>
          <w:bCs/>
        </w:rPr>
        <w:t>Récapitulatif</w:t>
      </w:r>
    </w:p>
    <w:p w14:paraId="770BF17C" w14:textId="77777777" w:rsidR="00C67253"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szCs w:val="20"/>
          <w:lang w:val="x-none" w:eastAsia="x-none"/>
        </w:rPr>
      </w:pPr>
    </w:p>
    <w:p w14:paraId="203C2B18" w14:textId="77777777" w:rsidR="00C67253" w:rsidRPr="008D0A34"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rPr>
      </w:pPr>
      <w:r>
        <w:rPr>
          <w:rFonts w:ascii="Arial" w:hAnsi="Arial"/>
        </w:rPr>
        <w:t>Titre 01.04 Losange de toiture 29 × 29</w:t>
      </w:r>
    </w:p>
    <w:p w14:paraId="3F4DF3BD" w14:textId="77777777" w:rsidR="004B50AA" w:rsidRPr="00822E8D"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jc w:val="right"/>
        <w:rPr>
          <w:rFonts w:ascii="Arial" w:hAnsi="Arial" w:cs="Arial"/>
          <w:sz w:val="20"/>
          <w:szCs w:val="20"/>
        </w:rPr>
      </w:pPr>
      <w:r>
        <w:rPr>
          <w:rFonts w:ascii="Arial" w:hAnsi="Arial"/>
          <w:sz w:val="20"/>
          <w:szCs w:val="20"/>
        </w:rPr>
        <w:t>PT _____________</w:t>
      </w:r>
    </w:p>
    <w:p w14:paraId="2C8C6018" w14:textId="77777777" w:rsidR="00C67253" w:rsidRPr="003C6144" w:rsidRDefault="00C67253"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sz w:val="20"/>
          <w:lang w:val="x-none" w:eastAsia="x-none"/>
        </w:rPr>
      </w:pPr>
    </w:p>
    <w:p w14:paraId="204F48AB" w14:textId="77777777" w:rsidR="00C67253" w:rsidRPr="008D0A34"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rPr>
          <w:rFonts w:ascii="Arial" w:hAnsi="Arial" w:cs="Arial"/>
          <w:b/>
          <w:bCs/>
        </w:rPr>
      </w:pPr>
      <w:r>
        <w:rPr>
          <w:rFonts w:ascii="Arial" w:hAnsi="Arial"/>
          <w:b/>
          <w:bCs/>
        </w:rPr>
        <w:t>LV 01 Toitures PREFA</w:t>
      </w:r>
    </w:p>
    <w:p w14:paraId="1CA39AB2" w14:textId="77777777" w:rsidR="004B50AA" w:rsidRPr="008D0A34" w:rsidRDefault="004B50AA" w:rsidP="00C67253">
      <w:pPr>
        <w:widowControl w:val="0"/>
        <w:tabs>
          <w:tab w:val="left" w:pos="4025"/>
          <w:tab w:val="left" w:pos="10206"/>
          <w:tab w:val="left" w:pos="11340"/>
          <w:tab w:val="left" w:pos="12474"/>
          <w:tab w:val="left" w:pos="13608"/>
          <w:tab w:val="left" w:pos="14742"/>
          <w:tab w:val="left" w:pos="15876"/>
        </w:tabs>
        <w:autoSpaceDE w:val="0"/>
        <w:autoSpaceDN w:val="0"/>
        <w:adjustRightInd w:val="0"/>
        <w:ind w:right="1870"/>
        <w:jc w:val="right"/>
        <w:rPr>
          <w:rFonts w:ascii="Arial" w:hAnsi="Arial" w:cs="Arial"/>
          <w:b/>
          <w:bCs/>
        </w:rPr>
      </w:pPr>
      <w:r>
        <w:rPr>
          <w:rFonts w:ascii="Arial" w:hAnsi="Arial"/>
          <w:b/>
          <w:bCs/>
        </w:rPr>
        <w:t>PT __________</w:t>
      </w:r>
    </w:p>
    <w:p w14:paraId="4B725895" w14:textId="77777777" w:rsidR="004B50AA" w:rsidRPr="003C6144" w:rsidRDefault="004B50AA" w:rsidP="00C67253">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20"/>
          <w:lang w:val="x-none" w:eastAsia="x-none"/>
        </w:rPr>
      </w:pPr>
    </w:p>
    <w:p w14:paraId="7CBD35A0" w14:textId="77777777" w:rsidR="004B50AA" w:rsidRPr="003C6144" w:rsidRDefault="004B50AA" w:rsidP="00C67253">
      <w:pPr>
        <w:rPr>
          <w:sz w:val="20"/>
          <w:lang w:val="x-none"/>
        </w:rPr>
      </w:pPr>
    </w:p>
    <w:p w14:paraId="01BF31BE" w14:textId="77777777" w:rsidR="004B50AA" w:rsidRPr="003C6144" w:rsidRDefault="004B50AA">
      <w:pPr>
        <w:rPr>
          <w:sz w:val="20"/>
        </w:rPr>
      </w:pPr>
    </w:p>
    <w:sectPr w:rsidR="004B50AA" w:rsidRPr="003C6144" w:rsidSect="00C67253">
      <w:headerReference w:type="default" r:id="rId7"/>
      <w:footerReference w:type="default" r:id="rId8"/>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4783D0" w14:textId="77777777" w:rsidR="00212B10" w:rsidRDefault="00212B10" w:rsidP="00D5549D">
      <w:r>
        <w:separator/>
      </w:r>
    </w:p>
  </w:endnote>
  <w:endnote w:type="continuationSeparator" w:id="0">
    <w:p w14:paraId="0F3051E0" w14:textId="77777777" w:rsidR="00212B10" w:rsidRDefault="00212B10" w:rsidP="00D55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Arialpt">
    <w:panose1 w:val="00000000000000000000"/>
    <w:charset w:val="00"/>
    <w:family w:val="auto"/>
    <w:notTrueType/>
    <w:pitch w:val="variable"/>
    <w:sig w:usb0="00000003" w:usb1="00000000" w:usb2="00000000" w:usb3="00000000" w:csb0="00000001" w:csb1="00000000"/>
  </w:font>
  <w:font w:name="Menlo Regular">
    <w:charset w:val="00"/>
    <w:family w:val="auto"/>
    <w:pitch w:val="variable"/>
    <w:sig w:usb0="E60022FF" w:usb1="D200F9FB" w:usb2="02000028"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BCE772" w14:textId="77777777" w:rsidR="00212B10" w:rsidRPr="003C6144" w:rsidRDefault="00212B10">
    <w:pPr>
      <w:rPr>
        <w:sz w:val="20"/>
      </w:rPr>
    </w:pPr>
  </w:p>
  <w:p w14:paraId="6407E497" w14:textId="78434A2E" w:rsidR="00212B10" w:rsidRPr="003C6144" w:rsidRDefault="00212B10" w:rsidP="00C67253">
    <w:pPr>
      <w:rPr>
        <w:sz w:val="20"/>
      </w:rPr>
    </w:pPr>
    <w:r>
      <w:rPr>
        <w:sz w:val="20"/>
      </w:rPr>
      <w:t>PREFA Aluminiumprodukte GmbH</w:t>
    </w:r>
    <w:r>
      <w:rPr>
        <w:sz w:val="20"/>
      </w:rPr>
      <w:tab/>
    </w:r>
    <w:r>
      <w:rPr>
        <w:sz w:val="20"/>
      </w:rPr>
      <w:tab/>
    </w:r>
    <w:r>
      <w:rPr>
        <w:sz w:val="20"/>
      </w:rPr>
      <w:tab/>
    </w:r>
    <w:r>
      <w:rPr>
        <w:sz w:val="20"/>
      </w:rPr>
      <w:tab/>
    </w:r>
    <w:r>
      <w:rPr>
        <w:sz w:val="20"/>
      </w:rPr>
      <w:tab/>
    </w:r>
    <w:r>
      <w:rPr>
        <w:sz w:val="20"/>
      </w:rPr>
      <w:tab/>
    </w:r>
    <w:r>
      <w:rPr>
        <w:sz w:val="20"/>
      </w:rPr>
      <w:tab/>
      <w:t xml:space="preserve">page </w:t>
    </w:r>
    <w:r w:rsidRPr="003C6144">
      <w:rPr>
        <w:sz w:val="20"/>
      </w:rPr>
      <w:fldChar w:fldCharType="begin"/>
    </w:r>
    <w:r w:rsidRPr="003C6144">
      <w:rPr>
        <w:sz w:val="20"/>
      </w:rPr>
      <w:instrText xml:space="preserve"> PAGE </w:instrText>
    </w:r>
    <w:r w:rsidRPr="003C6144">
      <w:rPr>
        <w:sz w:val="20"/>
      </w:rPr>
      <w:fldChar w:fldCharType="separate"/>
    </w:r>
    <w:r w:rsidR="0068240D">
      <w:rPr>
        <w:noProof/>
        <w:sz w:val="20"/>
      </w:rPr>
      <w:t>1</w:t>
    </w:r>
    <w:r w:rsidRPr="003C6144">
      <w:rPr>
        <w:sz w:val="20"/>
      </w:rPr>
      <w:fldChar w:fldCharType="end"/>
    </w:r>
    <w:r>
      <w:rPr>
        <w:sz w:val="20"/>
      </w:rPr>
      <w:t xml:space="preserve"> sur </w:t>
    </w:r>
    <w:r w:rsidRPr="003C6144">
      <w:rPr>
        <w:sz w:val="20"/>
      </w:rPr>
      <w:fldChar w:fldCharType="begin"/>
    </w:r>
    <w:r w:rsidRPr="003C6144">
      <w:rPr>
        <w:sz w:val="20"/>
      </w:rPr>
      <w:instrText xml:space="preserve"> NUMPAGES  </w:instrText>
    </w:r>
    <w:r w:rsidRPr="003C6144">
      <w:rPr>
        <w:sz w:val="20"/>
      </w:rPr>
      <w:fldChar w:fldCharType="separate"/>
    </w:r>
    <w:r w:rsidR="0068240D">
      <w:rPr>
        <w:noProof/>
        <w:sz w:val="20"/>
      </w:rPr>
      <w:t>5</w:t>
    </w:r>
    <w:r w:rsidRPr="003C6144">
      <w:rPr>
        <w:sz w:val="20"/>
      </w:rPr>
      <w:fldChar w:fldCharType="end"/>
    </w:r>
  </w:p>
  <w:p w14:paraId="1DD96F71" w14:textId="77777777" w:rsidR="00212B10" w:rsidRPr="003C6144" w:rsidRDefault="00212B10" w:rsidP="00C67253">
    <w:pPr>
      <w:rPr>
        <w:sz w:val="20"/>
      </w:rPr>
    </w:pPr>
    <w:r>
      <w:rPr>
        <w:sz w:val="20"/>
      </w:rPr>
      <w:t>A-3182 Marktl/Lilienfeld (Autriche)</w:t>
    </w:r>
  </w:p>
  <w:p w14:paraId="21226E1A" w14:textId="56B7BFE6" w:rsidR="00212B10" w:rsidRDefault="0068240D" w:rsidP="00C67253">
    <w:pPr>
      <w:pStyle w:val="Fuzeile"/>
    </w:pPr>
    <w:hyperlink r:id="rId1" w:history="1">
      <w:r w:rsidR="00212B10">
        <w:rPr>
          <w:rStyle w:val="Hyperlink"/>
          <w:color w:val="auto"/>
        </w:rPr>
        <w:t>www.prefa.com</w:t>
      </w:r>
    </w:hyperlink>
  </w:p>
  <w:p w14:paraId="3994FBD2" w14:textId="5E3E8FE0" w:rsidR="00212B10" w:rsidRPr="00A75A63" w:rsidRDefault="00212B10" w:rsidP="00C67253">
    <w:pPr>
      <w:pStyle w:val="Fuzeil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B6382E" w14:textId="77777777" w:rsidR="00212B10" w:rsidRDefault="00212B10" w:rsidP="00D5549D">
      <w:r>
        <w:separator/>
      </w:r>
    </w:p>
  </w:footnote>
  <w:footnote w:type="continuationSeparator" w:id="0">
    <w:p w14:paraId="6A089520" w14:textId="77777777" w:rsidR="00212B10" w:rsidRDefault="00212B10" w:rsidP="00D55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3DC47" w14:textId="77777777" w:rsidR="00212B10" w:rsidRDefault="00212B10" w:rsidP="00C67253">
    <w:pPr>
      <w:pStyle w:val="Kopfzeile"/>
      <w:jc w:val="right"/>
    </w:pPr>
    <w:r>
      <w:tab/>
    </w:r>
    <w:r w:rsidR="0068240D">
      <w:pict w14:anchorId="1D36D0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0" o:spid="_x0000_i1025" type="#_x0000_t75" alt="Prefa Slogan+Logo.bmp" style="width:135.35pt;height:23.05pt;visibility:visible">
          <v:imagedata r:id="rId1" o:title="Prefa Slogan+Logo"/>
        </v:shape>
      </w:pict>
    </w:r>
  </w:p>
  <w:p w14:paraId="48164F55" w14:textId="77777777" w:rsidR="00212B10" w:rsidRDefault="00212B1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33413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bullet"/>
      <w:lvlText w:val=""/>
      <w:lvlJc w:val="left"/>
      <w:rPr>
        <w:rFonts w:ascii="Symbol" w:hAnsi="Symbol" w:cs="Symbol" w:hint="default"/>
        <w:b w:val="0"/>
        <w:bCs w:val="0"/>
        <w:i w:val="0"/>
        <w:iCs w:val="0"/>
        <w:strike w:val="0"/>
        <w:color w:val="000000"/>
        <w:sz w:val="20"/>
        <w:szCs w:val="20"/>
        <w:u w:val="none"/>
      </w:rPr>
    </w:lvl>
    <w:lvl w:ilvl="1">
      <w:start w:val="1"/>
      <w:numFmt w:val="bullet"/>
      <w:lvlText w:val=""/>
      <w:lvlJc w:val="left"/>
      <w:rPr>
        <w:rFonts w:ascii="Symbol" w:hAnsi="Symbol" w:cs="Symbol" w:hint="default"/>
        <w:b w:val="0"/>
        <w:bCs w:val="0"/>
        <w:i w:val="0"/>
        <w:iCs w:val="0"/>
        <w:strike w:val="0"/>
        <w:color w:val="000000"/>
        <w:sz w:val="20"/>
        <w:szCs w:val="20"/>
        <w:u w:val="none"/>
      </w:rPr>
    </w:lvl>
    <w:lvl w:ilvl="2">
      <w:start w:val="1"/>
      <w:numFmt w:val="bullet"/>
      <w:lvlText w:val=""/>
      <w:lvlJc w:val="left"/>
      <w:rPr>
        <w:rFonts w:ascii="Symbol" w:hAnsi="Symbol" w:cs="Symbol" w:hint="default"/>
        <w:b w:val="0"/>
        <w:bCs w:val="0"/>
        <w:i w:val="0"/>
        <w:iCs w:val="0"/>
        <w:strike w:val="0"/>
        <w:color w:val="000000"/>
        <w:sz w:val="20"/>
        <w:szCs w:val="20"/>
        <w:u w:val="none"/>
      </w:rPr>
    </w:lvl>
    <w:lvl w:ilvl="3">
      <w:start w:val="1"/>
      <w:numFmt w:val="bullet"/>
      <w:lvlText w:val=""/>
      <w:lvlJc w:val="left"/>
      <w:rPr>
        <w:rFonts w:ascii="Symbol" w:hAnsi="Symbol" w:cs="Symbol" w:hint="default"/>
        <w:b w:val="0"/>
        <w:bCs w:val="0"/>
        <w:i w:val="0"/>
        <w:iCs w:val="0"/>
        <w:strike w:val="0"/>
        <w:color w:val="000000"/>
        <w:sz w:val="20"/>
        <w:szCs w:val="20"/>
        <w:u w:val="none"/>
      </w:rPr>
    </w:lvl>
    <w:lvl w:ilvl="4">
      <w:start w:val="1"/>
      <w:numFmt w:val="bullet"/>
      <w:lvlText w:val=""/>
      <w:lvlJc w:val="left"/>
      <w:rPr>
        <w:rFonts w:ascii="Symbol" w:hAnsi="Symbol" w:cs="Symbol" w:hint="default"/>
        <w:b w:val="0"/>
        <w:bCs w:val="0"/>
        <w:i w:val="0"/>
        <w:iCs w:val="0"/>
        <w:strike w:val="0"/>
        <w:color w:val="000000"/>
        <w:sz w:val="20"/>
        <w:szCs w:val="20"/>
        <w:u w:val="none"/>
      </w:rPr>
    </w:lvl>
    <w:lvl w:ilvl="5">
      <w:start w:val="1"/>
      <w:numFmt w:val="bullet"/>
      <w:lvlText w:val=""/>
      <w:lvlJc w:val="left"/>
      <w:rPr>
        <w:rFonts w:ascii="Symbol" w:hAnsi="Symbol" w:cs="Symbol" w:hint="default"/>
        <w:b w:val="0"/>
        <w:bCs w:val="0"/>
        <w:i w:val="0"/>
        <w:iCs w:val="0"/>
        <w:strike w:val="0"/>
        <w:color w:val="000000"/>
        <w:sz w:val="20"/>
        <w:szCs w:val="20"/>
        <w:u w:val="none"/>
      </w:rPr>
    </w:lvl>
    <w:lvl w:ilvl="6">
      <w:start w:val="1"/>
      <w:numFmt w:val="bullet"/>
      <w:lvlText w:val=""/>
      <w:lvlJc w:val="left"/>
      <w:rPr>
        <w:rFonts w:ascii="Symbol" w:hAnsi="Symbol" w:cs="Symbol" w:hint="default"/>
        <w:b w:val="0"/>
        <w:bCs w:val="0"/>
        <w:i w:val="0"/>
        <w:iCs w:val="0"/>
        <w:strike w:val="0"/>
        <w:color w:val="000000"/>
        <w:sz w:val="20"/>
        <w:szCs w:val="20"/>
        <w:u w:val="none"/>
      </w:rPr>
    </w:lvl>
    <w:lvl w:ilvl="7">
      <w:start w:val="1"/>
      <w:numFmt w:val="bullet"/>
      <w:lvlText w:val=""/>
      <w:lvlJc w:val="left"/>
      <w:rPr>
        <w:rFonts w:ascii="Symbol" w:hAnsi="Symbol" w:cs="Symbol" w:hint="default"/>
        <w:b w:val="0"/>
        <w:bCs w:val="0"/>
        <w:i w:val="0"/>
        <w:iCs w:val="0"/>
        <w:strike w:val="0"/>
        <w:color w:val="000000"/>
        <w:sz w:val="20"/>
        <w:szCs w:val="20"/>
        <w:u w:val="none"/>
      </w:rPr>
    </w:lvl>
    <w:lvl w:ilvl="8">
      <w:start w:val="1"/>
      <w:numFmt w:val="bullet"/>
      <w:lvlText w:val=""/>
      <w:lvlJc w:val="left"/>
      <w:rPr>
        <w:rFonts w:ascii="Symbol" w:hAnsi="Symbol" w:cs="Symbol" w:hint="default"/>
        <w:b w:val="0"/>
        <w:bCs w:val="0"/>
        <w:i w:val="0"/>
        <w:iCs w:val="0"/>
        <w:strike w:val="0"/>
        <w:color w:val="000000"/>
        <w:sz w:val="20"/>
        <w:szCs w:val="20"/>
        <w:u w:val="none"/>
      </w:rPr>
    </w:lvl>
  </w:abstractNum>
  <w:abstractNum w:abstractNumId="2" w15:restartNumberingAfterBreak="0">
    <w:nsid w:val="02DA1BA5"/>
    <w:multiLevelType w:val="hybridMultilevel"/>
    <w:tmpl w:val="8DAEC86A"/>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46B27AA"/>
    <w:multiLevelType w:val="hybridMultilevel"/>
    <w:tmpl w:val="CDFCF61C"/>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4B23F5B"/>
    <w:multiLevelType w:val="hybridMultilevel"/>
    <w:tmpl w:val="AF3E62D8"/>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8F67B87"/>
    <w:multiLevelType w:val="hybridMultilevel"/>
    <w:tmpl w:val="7CA092FC"/>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CD44634"/>
    <w:multiLevelType w:val="hybridMultilevel"/>
    <w:tmpl w:val="DB2263DC"/>
    <w:lvl w:ilvl="0" w:tplc="3B46645A">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7B19BE"/>
    <w:multiLevelType w:val="hybridMultilevel"/>
    <w:tmpl w:val="A5D424D2"/>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264DE7"/>
    <w:multiLevelType w:val="hybridMultilevel"/>
    <w:tmpl w:val="C00E93D0"/>
    <w:lvl w:ilvl="0" w:tplc="3B46645A">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5A05B52"/>
    <w:multiLevelType w:val="hybridMultilevel"/>
    <w:tmpl w:val="14DED2F8"/>
    <w:lvl w:ilvl="0" w:tplc="FF54CB7E">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E2E1127"/>
    <w:multiLevelType w:val="hybridMultilevel"/>
    <w:tmpl w:val="80CA5FEC"/>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F496EAF"/>
    <w:multiLevelType w:val="hybridMultilevel"/>
    <w:tmpl w:val="44FA8B8C"/>
    <w:lvl w:ilvl="0" w:tplc="CD5CC6BA">
      <w:start w:val="1"/>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19E67C8"/>
    <w:multiLevelType w:val="multilevel"/>
    <w:tmpl w:val="8006C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73C6CF0"/>
    <w:multiLevelType w:val="hybridMultilevel"/>
    <w:tmpl w:val="070C9E64"/>
    <w:lvl w:ilvl="0" w:tplc="3B46645A">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7BB6CBD"/>
    <w:multiLevelType w:val="hybridMultilevel"/>
    <w:tmpl w:val="CB809158"/>
    <w:lvl w:ilvl="0" w:tplc="F500918A">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A6239D2"/>
    <w:multiLevelType w:val="hybridMultilevel"/>
    <w:tmpl w:val="DC5EA980"/>
    <w:lvl w:ilvl="0" w:tplc="3B46645A">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E8A2C33"/>
    <w:multiLevelType w:val="hybridMultilevel"/>
    <w:tmpl w:val="9DC87ACC"/>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0E3294F"/>
    <w:multiLevelType w:val="hybridMultilevel"/>
    <w:tmpl w:val="D604E9F0"/>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587312D"/>
    <w:multiLevelType w:val="multilevel"/>
    <w:tmpl w:val="9A565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851697"/>
    <w:multiLevelType w:val="hybridMultilevel"/>
    <w:tmpl w:val="CDB2DE00"/>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A213B51"/>
    <w:multiLevelType w:val="hybridMultilevel"/>
    <w:tmpl w:val="C1741B0A"/>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E3C3FF8"/>
    <w:multiLevelType w:val="hybridMultilevel"/>
    <w:tmpl w:val="D9D8CD7C"/>
    <w:lvl w:ilvl="0" w:tplc="804ECABA">
      <w:start w:val="1"/>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0A0702D"/>
    <w:multiLevelType w:val="hybridMultilevel"/>
    <w:tmpl w:val="84088B80"/>
    <w:lvl w:ilvl="0" w:tplc="F4AE4B1A">
      <w:numFmt w:val="bullet"/>
      <w:lvlText w:val="-"/>
      <w:lvlJc w:val="left"/>
      <w:pPr>
        <w:ind w:left="720" w:hanging="360"/>
      </w:pPr>
      <w:rPr>
        <w:rFonts w:ascii="Calibri" w:eastAsia="Times New Roman" w:hAnsi="Calibri" w:cs="Calibri" w:hint="default"/>
        <w:color w:val="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4B344A"/>
    <w:multiLevelType w:val="hybridMultilevel"/>
    <w:tmpl w:val="9456253C"/>
    <w:lvl w:ilvl="0" w:tplc="651E9834">
      <w:numFmt w:val="bullet"/>
      <w:lvlText w:val="-"/>
      <w:lvlJc w:val="left"/>
      <w:pPr>
        <w:ind w:left="720" w:hanging="360"/>
      </w:pPr>
      <w:rPr>
        <w:rFonts w:ascii="Calibri" w:eastAsia="Times New Roman" w:hAnsi="Calibri" w:cs="Calibri" w:hint="default"/>
        <w:color w:val="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AC1C7B"/>
    <w:multiLevelType w:val="hybridMultilevel"/>
    <w:tmpl w:val="F57E77A4"/>
    <w:lvl w:ilvl="0" w:tplc="9528C688">
      <w:start w:val="1"/>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D382D54"/>
    <w:multiLevelType w:val="hybridMultilevel"/>
    <w:tmpl w:val="6B3676AA"/>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2956DA6"/>
    <w:multiLevelType w:val="hybridMultilevel"/>
    <w:tmpl w:val="74344916"/>
    <w:lvl w:ilvl="0" w:tplc="3B46645A">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B324A36"/>
    <w:multiLevelType w:val="hybridMultilevel"/>
    <w:tmpl w:val="69205976"/>
    <w:lvl w:ilvl="0" w:tplc="F52658A6">
      <w:start w:val="1"/>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601703D"/>
    <w:multiLevelType w:val="multilevel"/>
    <w:tmpl w:val="575E2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D273CF7"/>
    <w:multiLevelType w:val="hybridMultilevel"/>
    <w:tmpl w:val="B4C6893C"/>
    <w:lvl w:ilvl="0" w:tplc="AE44F806">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EE94124"/>
    <w:multiLevelType w:val="hybridMultilevel"/>
    <w:tmpl w:val="56D475E0"/>
    <w:lvl w:ilvl="0" w:tplc="183E5946">
      <w:numFmt w:val="bullet"/>
      <w:lvlText w:val="-"/>
      <w:lvlJc w:val="left"/>
      <w:pPr>
        <w:ind w:left="720" w:hanging="360"/>
      </w:pPr>
      <w:rPr>
        <w:rFonts w:ascii="Calibri" w:eastAsia="Times New Roman" w:hAnsi="Calibri" w:cs="Calibri" w:hint="default"/>
        <w:color w:val="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916251"/>
    <w:multiLevelType w:val="hybridMultilevel"/>
    <w:tmpl w:val="038A2D96"/>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228334A"/>
    <w:multiLevelType w:val="hybridMultilevel"/>
    <w:tmpl w:val="C8F03144"/>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B831806"/>
    <w:multiLevelType w:val="hybridMultilevel"/>
    <w:tmpl w:val="9B78E4EC"/>
    <w:lvl w:ilvl="0" w:tplc="3B46645A">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F2F1425"/>
    <w:multiLevelType w:val="hybridMultilevel"/>
    <w:tmpl w:val="7570A59E"/>
    <w:lvl w:ilvl="0" w:tplc="DE5036B6">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1"/>
    <w:lvlOverride w:ilvl="0">
      <w:lvl w:ilvl="0">
        <w:start w:val="1"/>
        <w:numFmt w:val="bullet"/>
        <w:suff w:val="space"/>
        <w:lvlText w:val=""/>
        <w:lvlJc w:val="left"/>
        <w:rPr>
          <w:rFonts w:ascii="Symbol" w:hAnsi="Symbol" w:cs="Symbol" w:hint="default"/>
          <w:b w:val="0"/>
          <w:bCs w:val="0"/>
          <w:i w:val="0"/>
          <w:iCs w:val="0"/>
          <w:strike w:val="0"/>
          <w:color w:val="auto"/>
          <w:sz w:val="20"/>
          <w:szCs w:val="20"/>
          <w:u w:val="none"/>
        </w:rPr>
      </w:lvl>
    </w:lvlOverride>
    <w:lvlOverride w:ilvl="1">
      <w:lvl w:ilvl="1">
        <w:start w:val="1"/>
        <w:numFmt w:val="bullet"/>
        <w:lvlText w:val=""/>
        <w:lvlJc w:val="left"/>
        <w:rPr>
          <w:rFonts w:ascii="Symbol" w:hAnsi="Symbol" w:cs="Symbol" w:hint="default"/>
          <w:b w:val="0"/>
          <w:bCs w:val="0"/>
          <w:i w:val="0"/>
          <w:iCs w:val="0"/>
          <w:strike w:val="0"/>
          <w:color w:val="000000"/>
          <w:sz w:val="20"/>
          <w:szCs w:val="20"/>
          <w:u w:val="none"/>
        </w:rPr>
      </w:lvl>
    </w:lvlOverride>
    <w:lvlOverride w:ilvl="2">
      <w:lvl w:ilvl="2">
        <w:start w:val="1"/>
        <w:numFmt w:val="bullet"/>
        <w:lvlText w:val=""/>
        <w:lvlJc w:val="left"/>
        <w:rPr>
          <w:rFonts w:ascii="Symbol" w:hAnsi="Symbol" w:cs="Symbol" w:hint="default"/>
          <w:b w:val="0"/>
          <w:bCs w:val="0"/>
          <w:i w:val="0"/>
          <w:iCs w:val="0"/>
          <w:strike w:val="0"/>
          <w:color w:val="000000"/>
          <w:sz w:val="20"/>
          <w:szCs w:val="20"/>
          <w:u w:val="none"/>
        </w:rPr>
      </w:lvl>
    </w:lvlOverride>
    <w:lvlOverride w:ilvl="3">
      <w:lvl w:ilvl="3">
        <w:start w:val="1"/>
        <w:numFmt w:val="bullet"/>
        <w:lvlText w:val=""/>
        <w:lvlJc w:val="left"/>
        <w:rPr>
          <w:rFonts w:ascii="Symbol" w:hAnsi="Symbol" w:cs="Symbol" w:hint="default"/>
          <w:b w:val="0"/>
          <w:bCs w:val="0"/>
          <w:i w:val="0"/>
          <w:iCs w:val="0"/>
          <w:strike w:val="0"/>
          <w:color w:val="000000"/>
          <w:sz w:val="20"/>
          <w:szCs w:val="20"/>
          <w:u w:val="none"/>
        </w:rPr>
      </w:lvl>
    </w:lvlOverride>
    <w:lvlOverride w:ilvl="4">
      <w:lvl w:ilvl="4">
        <w:start w:val="1"/>
        <w:numFmt w:val="bullet"/>
        <w:lvlText w:val=""/>
        <w:lvlJc w:val="left"/>
        <w:rPr>
          <w:rFonts w:ascii="Symbol" w:hAnsi="Symbol" w:cs="Symbol" w:hint="default"/>
          <w:b w:val="0"/>
          <w:bCs w:val="0"/>
          <w:i w:val="0"/>
          <w:iCs w:val="0"/>
          <w:strike w:val="0"/>
          <w:color w:val="000000"/>
          <w:sz w:val="20"/>
          <w:szCs w:val="20"/>
          <w:u w:val="none"/>
        </w:rPr>
      </w:lvl>
    </w:lvlOverride>
    <w:lvlOverride w:ilvl="5">
      <w:lvl w:ilvl="5">
        <w:start w:val="1"/>
        <w:numFmt w:val="bullet"/>
        <w:lvlText w:val=""/>
        <w:lvlJc w:val="left"/>
        <w:rPr>
          <w:rFonts w:ascii="Symbol" w:hAnsi="Symbol" w:cs="Symbol" w:hint="default"/>
          <w:b w:val="0"/>
          <w:bCs w:val="0"/>
          <w:i w:val="0"/>
          <w:iCs w:val="0"/>
          <w:strike w:val="0"/>
          <w:color w:val="000000"/>
          <w:sz w:val="20"/>
          <w:szCs w:val="20"/>
          <w:u w:val="none"/>
        </w:rPr>
      </w:lvl>
    </w:lvlOverride>
    <w:lvlOverride w:ilvl="6">
      <w:lvl w:ilvl="6">
        <w:start w:val="1"/>
        <w:numFmt w:val="bullet"/>
        <w:lvlText w:val=""/>
        <w:lvlJc w:val="left"/>
        <w:rPr>
          <w:rFonts w:ascii="Symbol" w:hAnsi="Symbol" w:cs="Symbol" w:hint="default"/>
          <w:b w:val="0"/>
          <w:bCs w:val="0"/>
          <w:i w:val="0"/>
          <w:iCs w:val="0"/>
          <w:strike w:val="0"/>
          <w:color w:val="000000"/>
          <w:sz w:val="20"/>
          <w:szCs w:val="20"/>
          <w:u w:val="none"/>
        </w:rPr>
      </w:lvl>
    </w:lvlOverride>
    <w:lvlOverride w:ilvl="7">
      <w:lvl w:ilvl="7">
        <w:start w:val="1"/>
        <w:numFmt w:val="bullet"/>
        <w:lvlText w:val=""/>
        <w:lvlJc w:val="left"/>
        <w:rPr>
          <w:rFonts w:ascii="Symbol" w:hAnsi="Symbol" w:cs="Symbol" w:hint="default"/>
          <w:b w:val="0"/>
          <w:bCs w:val="0"/>
          <w:i w:val="0"/>
          <w:iCs w:val="0"/>
          <w:strike w:val="0"/>
          <w:color w:val="000000"/>
          <w:sz w:val="20"/>
          <w:szCs w:val="20"/>
          <w:u w:val="none"/>
        </w:rPr>
      </w:lvl>
    </w:lvlOverride>
    <w:lvlOverride w:ilvl="8">
      <w:lvl w:ilvl="8">
        <w:start w:val="1"/>
        <w:numFmt w:val="bullet"/>
        <w:lvlText w:val=""/>
        <w:lvlJc w:val="left"/>
        <w:rPr>
          <w:rFonts w:ascii="Symbol" w:hAnsi="Symbol" w:cs="Symbol" w:hint="default"/>
          <w:b w:val="0"/>
          <w:bCs w:val="0"/>
          <w:i w:val="0"/>
          <w:iCs w:val="0"/>
          <w:strike w:val="0"/>
          <w:color w:val="000000"/>
          <w:sz w:val="20"/>
          <w:szCs w:val="20"/>
          <w:u w:val="none"/>
        </w:rPr>
      </w:lvl>
    </w:lvlOverride>
  </w:num>
  <w:num w:numId="3">
    <w:abstractNumId w:val="1"/>
  </w:num>
  <w:num w:numId="4">
    <w:abstractNumId w:val="29"/>
  </w:num>
  <w:num w:numId="5">
    <w:abstractNumId w:val="9"/>
  </w:num>
  <w:num w:numId="6">
    <w:abstractNumId w:val="0"/>
  </w:num>
  <w:num w:numId="7">
    <w:abstractNumId w:val="3"/>
  </w:num>
  <w:num w:numId="8">
    <w:abstractNumId w:val="5"/>
  </w:num>
  <w:num w:numId="9">
    <w:abstractNumId w:val="34"/>
  </w:num>
  <w:num w:numId="10">
    <w:abstractNumId w:val="8"/>
  </w:num>
  <w:num w:numId="11">
    <w:abstractNumId w:val="11"/>
  </w:num>
  <w:num w:numId="12">
    <w:abstractNumId w:val="10"/>
  </w:num>
  <w:num w:numId="13">
    <w:abstractNumId w:val="18"/>
  </w:num>
  <w:num w:numId="14">
    <w:abstractNumId w:val="23"/>
  </w:num>
  <w:num w:numId="15">
    <w:abstractNumId w:val="27"/>
  </w:num>
  <w:num w:numId="16">
    <w:abstractNumId w:val="26"/>
  </w:num>
  <w:num w:numId="17">
    <w:abstractNumId w:val="14"/>
  </w:num>
  <w:num w:numId="18">
    <w:abstractNumId w:val="15"/>
  </w:num>
  <w:num w:numId="19">
    <w:abstractNumId w:val="28"/>
  </w:num>
  <w:num w:numId="20">
    <w:abstractNumId w:val="30"/>
  </w:num>
  <w:num w:numId="21">
    <w:abstractNumId w:val="21"/>
  </w:num>
  <w:num w:numId="22">
    <w:abstractNumId w:val="6"/>
  </w:num>
  <w:num w:numId="23">
    <w:abstractNumId w:val="12"/>
  </w:num>
  <w:num w:numId="24">
    <w:abstractNumId w:val="22"/>
  </w:num>
  <w:num w:numId="25">
    <w:abstractNumId w:val="24"/>
  </w:num>
  <w:num w:numId="26">
    <w:abstractNumId w:val="19"/>
  </w:num>
  <w:num w:numId="27">
    <w:abstractNumId w:val="31"/>
  </w:num>
  <w:num w:numId="28">
    <w:abstractNumId w:val="13"/>
  </w:num>
  <w:num w:numId="29">
    <w:abstractNumId w:val="16"/>
  </w:num>
  <w:num w:numId="30">
    <w:abstractNumId w:val="25"/>
  </w:num>
  <w:num w:numId="31">
    <w:abstractNumId w:val="7"/>
  </w:num>
  <w:num w:numId="32">
    <w:abstractNumId w:val="2"/>
  </w:num>
  <w:num w:numId="33">
    <w:abstractNumId w:val="32"/>
  </w:num>
  <w:num w:numId="34">
    <w:abstractNumId w:val="4"/>
  </w:num>
  <w:num w:numId="35">
    <w:abstractNumId w:val="17"/>
  </w:num>
  <w:num w:numId="36">
    <w:abstractNumId w:val="33"/>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GrammaticalErrors/>
  <w:defaultTabStop w:val="708"/>
  <w:hyphenationZone w:val="425"/>
  <w:characterSpacingControl w:val="doNotCompress"/>
  <w:hdrShapeDefaults>
    <o:shapedefaults v:ext="edit" spidmax="409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0AA"/>
    <w:rsid w:val="00005954"/>
    <w:rsid w:val="000575D3"/>
    <w:rsid w:val="00066857"/>
    <w:rsid w:val="00067ACA"/>
    <w:rsid w:val="0008237C"/>
    <w:rsid w:val="000C662D"/>
    <w:rsid w:val="000D75E6"/>
    <w:rsid w:val="000E5E56"/>
    <w:rsid w:val="00120688"/>
    <w:rsid w:val="0014572A"/>
    <w:rsid w:val="001526CE"/>
    <w:rsid w:val="00154385"/>
    <w:rsid w:val="0018769B"/>
    <w:rsid w:val="001A208A"/>
    <w:rsid w:val="001B3F5D"/>
    <w:rsid w:val="001F404D"/>
    <w:rsid w:val="001F52BA"/>
    <w:rsid w:val="002031C0"/>
    <w:rsid w:val="00212B10"/>
    <w:rsid w:val="00224879"/>
    <w:rsid w:val="00225F5A"/>
    <w:rsid w:val="002312C1"/>
    <w:rsid w:val="00277601"/>
    <w:rsid w:val="002833D7"/>
    <w:rsid w:val="002D654F"/>
    <w:rsid w:val="003102D4"/>
    <w:rsid w:val="00367873"/>
    <w:rsid w:val="00374371"/>
    <w:rsid w:val="00390C3F"/>
    <w:rsid w:val="003B5CE5"/>
    <w:rsid w:val="003C4F35"/>
    <w:rsid w:val="003C6144"/>
    <w:rsid w:val="00401FDE"/>
    <w:rsid w:val="0042484F"/>
    <w:rsid w:val="00432AFC"/>
    <w:rsid w:val="0043339B"/>
    <w:rsid w:val="004356AA"/>
    <w:rsid w:val="004B50AA"/>
    <w:rsid w:val="004B702F"/>
    <w:rsid w:val="004C17A5"/>
    <w:rsid w:val="004C255B"/>
    <w:rsid w:val="004D22D4"/>
    <w:rsid w:val="004D40C0"/>
    <w:rsid w:val="004F5B33"/>
    <w:rsid w:val="00503114"/>
    <w:rsid w:val="005079B0"/>
    <w:rsid w:val="00522A71"/>
    <w:rsid w:val="00522FF3"/>
    <w:rsid w:val="005263B9"/>
    <w:rsid w:val="00534A73"/>
    <w:rsid w:val="005400B7"/>
    <w:rsid w:val="0055473C"/>
    <w:rsid w:val="00557292"/>
    <w:rsid w:val="00575AE9"/>
    <w:rsid w:val="005A1A53"/>
    <w:rsid w:val="005C0DDA"/>
    <w:rsid w:val="005E4DC6"/>
    <w:rsid w:val="005F6093"/>
    <w:rsid w:val="00625FA2"/>
    <w:rsid w:val="00643428"/>
    <w:rsid w:val="00671E60"/>
    <w:rsid w:val="0068240D"/>
    <w:rsid w:val="00683F90"/>
    <w:rsid w:val="006926E0"/>
    <w:rsid w:val="006A6B98"/>
    <w:rsid w:val="006B5EF7"/>
    <w:rsid w:val="006C7B36"/>
    <w:rsid w:val="006D10EB"/>
    <w:rsid w:val="006E2813"/>
    <w:rsid w:val="006E4D85"/>
    <w:rsid w:val="006F382B"/>
    <w:rsid w:val="00707BC4"/>
    <w:rsid w:val="007156E0"/>
    <w:rsid w:val="0076166F"/>
    <w:rsid w:val="0077439C"/>
    <w:rsid w:val="00784B57"/>
    <w:rsid w:val="00786479"/>
    <w:rsid w:val="00791BAB"/>
    <w:rsid w:val="007B05CD"/>
    <w:rsid w:val="007B0D02"/>
    <w:rsid w:val="007C7B79"/>
    <w:rsid w:val="007F516A"/>
    <w:rsid w:val="00801D30"/>
    <w:rsid w:val="008176B6"/>
    <w:rsid w:val="008565C4"/>
    <w:rsid w:val="00872007"/>
    <w:rsid w:val="008D0A34"/>
    <w:rsid w:val="008E6369"/>
    <w:rsid w:val="008F67B9"/>
    <w:rsid w:val="009506B6"/>
    <w:rsid w:val="009672E3"/>
    <w:rsid w:val="009911D0"/>
    <w:rsid w:val="009A0005"/>
    <w:rsid w:val="009C5159"/>
    <w:rsid w:val="009C68F7"/>
    <w:rsid w:val="009D35F9"/>
    <w:rsid w:val="009D5B78"/>
    <w:rsid w:val="00A12138"/>
    <w:rsid w:val="00A12778"/>
    <w:rsid w:val="00A673F0"/>
    <w:rsid w:val="00AB69D6"/>
    <w:rsid w:val="00AD4D79"/>
    <w:rsid w:val="00AE4F71"/>
    <w:rsid w:val="00AF0BEF"/>
    <w:rsid w:val="00B166EB"/>
    <w:rsid w:val="00B25792"/>
    <w:rsid w:val="00B26D16"/>
    <w:rsid w:val="00B4659B"/>
    <w:rsid w:val="00B47E6D"/>
    <w:rsid w:val="00B54E89"/>
    <w:rsid w:val="00B81007"/>
    <w:rsid w:val="00B83A1D"/>
    <w:rsid w:val="00BC676E"/>
    <w:rsid w:val="00BE131E"/>
    <w:rsid w:val="00C000E1"/>
    <w:rsid w:val="00C11A9A"/>
    <w:rsid w:val="00C14F2A"/>
    <w:rsid w:val="00C57A8F"/>
    <w:rsid w:val="00C67253"/>
    <w:rsid w:val="00C87265"/>
    <w:rsid w:val="00C95C3E"/>
    <w:rsid w:val="00CA4977"/>
    <w:rsid w:val="00CE7876"/>
    <w:rsid w:val="00D101F8"/>
    <w:rsid w:val="00D1260F"/>
    <w:rsid w:val="00D17741"/>
    <w:rsid w:val="00D5549D"/>
    <w:rsid w:val="00DC6DC0"/>
    <w:rsid w:val="00DD10B8"/>
    <w:rsid w:val="00DD1777"/>
    <w:rsid w:val="00DF5F80"/>
    <w:rsid w:val="00E439CA"/>
    <w:rsid w:val="00E50CDF"/>
    <w:rsid w:val="00E5142A"/>
    <w:rsid w:val="00EB1AA4"/>
    <w:rsid w:val="00EB489E"/>
    <w:rsid w:val="00EB6678"/>
    <w:rsid w:val="00ED141C"/>
    <w:rsid w:val="00ED191E"/>
    <w:rsid w:val="00ED3EC6"/>
    <w:rsid w:val="00F0363D"/>
    <w:rsid w:val="00F13D38"/>
    <w:rsid w:val="00F27EFD"/>
    <w:rsid w:val="00F456BF"/>
    <w:rsid w:val="00F50D7A"/>
    <w:rsid w:val="00F51BD2"/>
    <w:rsid w:val="00FB17BC"/>
    <w:rsid w:val="00FD4302"/>
    <w:rsid w:val="00FF5202"/>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14:docId w14:val="7AE25B1F"/>
  <w14:defaultImageDpi w14:val="300"/>
  <w15:docId w15:val="{91FC11F3-0084-46C8-9EA5-77B32DA0D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50AA"/>
    <w:pPr>
      <w:tabs>
        <w:tab w:val="center" w:pos="4536"/>
        <w:tab w:val="right" w:pos="9072"/>
      </w:tabs>
    </w:pPr>
    <w:rPr>
      <w:rFonts w:ascii="Calibri" w:eastAsia="Calibri" w:hAnsi="Calibri" w:cs="Times New Roman"/>
      <w:sz w:val="22"/>
      <w:szCs w:val="22"/>
      <w:lang w:eastAsia="en-US"/>
    </w:rPr>
  </w:style>
  <w:style w:type="character" w:customStyle="1" w:styleId="KopfzeileZchn">
    <w:name w:val="Kopfzeile Zchn"/>
    <w:basedOn w:val="Absatz-Standardschriftart"/>
    <w:link w:val="Kopfzeile"/>
    <w:uiPriority w:val="99"/>
    <w:rsid w:val="004B50AA"/>
    <w:rPr>
      <w:rFonts w:ascii="Calibri" w:eastAsia="Calibri" w:hAnsi="Calibri" w:cs="Times New Roman"/>
      <w:sz w:val="22"/>
      <w:szCs w:val="22"/>
      <w:lang w:val="fr-FR" w:eastAsia="en-US"/>
    </w:rPr>
  </w:style>
  <w:style w:type="paragraph" w:styleId="Fuzeile">
    <w:name w:val="footer"/>
    <w:basedOn w:val="Standard"/>
    <w:link w:val="FuzeileZchn"/>
    <w:uiPriority w:val="99"/>
    <w:unhideWhenUsed/>
    <w:rsid w:val="004B50AA"/>
    <w:pPr>
      <w:tabs>
        <w:tab w:val="center" w:pos="4536"/>
        <w:tab w:val="right" w:pos="9072"/>
      </w:tabs>
    </w:pPr>
    <w:rPr>
      <w:rFonts w:ascii="Calibri" w:eastAsia="Calibri" w:hAnsi="Calibri" w:cs="Times New Roman"/>
      <w:sz w:val="22"/>
      <w:szCs w:val="22"/>
      <w:lang w:eastAsia="en-US"/>
    </w:rPr>
  </w:style>
  <w:style w:type="character" w:customStyle="1" w:styleId="FuzeileZchn">
    <w:name w:val="Fußzeile Zchn"/>
    <w:basedOn w:val="Absatz-Standardschriftart"/>
    <w:link w:val="Fuzeile"/>
    <w:uiPriority w:val="99"/>
    <w:rsid w:val="004B50AA"/>
    <w:rPr>
      <w:rFonts w:ascii="Calibri" w:eastAsia="Calibri" w:hAnsi="Calibri" w:cs="Times New Roman"/>
      <w:sz w:val="22"/>
      <w:szCs w:val="22"/>
      <w:lang w:val="fr-FR" w:eastAsia="en-US"/>
    </w:rPr>
  </w:style>
  <w:style w:type="paragraph" w:styleId="Sprechblasentext">
    <w:name w:val="Balloon Text"/>
    <w:basedOn w:val="Standard"/>
    <w:link w:val="SprechblasentextZchn"/>
    <w:uiPriority w:val="99"/>
    <w:semiHidden/>
    <w:unhideWhenUsed/>
    <w:rsid w:val="004B50AA"/>
    <w:rPr>
      <w:rFonts w:ascii="Tahoma" w:eastAsia="Calibr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4B50AA"/>
    <w:rPr>
      <w:rFonts w:ascii="Tahoma" w:eastAsia="Calibri" w:hAnsi="Tahoma" w:cs="Tahoma"/>
      <w:sz w:val="16"/>
      <w:szCs w:val="16"/>
      <w:lang w:val="fr-FR" w:eastAsia="en-US"/>
    </w:rPr>
  </w:style>
  <w:style w:type="character" w:styleId="Hyperlink">
    <w:name w:val="Hyperlink"/>
    <w:uiPriority w:val="99"/>
    <w:unhideWhenUsed/>
    <w:rsid w:val="004B50AA"/>
    <w:rPr>
      <w:color w:val="0000FF"/>
      <w:u w:val="single"/>
    </w:rPr>
  </w:style>
  <w:style w:type="character" w:styleId="Platzhaltertext">
    <w:name w:val="Placeholder Text"/>
    <w:uiPriority w:val="99"/>
    <w:semiHidden/>
    <w:rsid w:val="004B50AA"/>
    <w:rPr>
      <w:color w:val="808080"/>
    </w:rPr>
  </w:style>
  <w:style w:type="paragraph" w:customStyle="1" w:styleId="Normal">
    <w:name w:val="[Normal]"/>
    <w:uiPriority w:val="99"/>
    <w:rsid w:val="004B50AA"/>
    <w:pPr>
      <w:widowControl w:val="0"/>
      <w:autoSpaceDE w:val="0"/>
      <w:autoSpaceDN w:val="0"/>
      <w:adjustRightInd w:val="0"/>
    </w:pPr>
    <w:rPr>
      <w:rFonts w:ascii="Arial" w:eastAsia="Calibri" w:hAnsi="Arial" w:cs="Arial"/>
      <w:lang w:eastAsia="de-DE"/>
    </w:rPr>
  </w:style>
  <w:style w:type="paragraph" w:styleId="NurText">
    <w:name w:val="Plain Text"/>
    <w:basedOn w:val="Standard"/>
    <w:link w:val="NurTextZchn"/>
    <w:uiPriority w:val="99"/>
    <w:rsid w:val="004B50AA"/>
    <w:pPr>
      <w:widowControl w:val="0"/>
      <w:autoSpaceDE w:val="0"/>
      <w:autoSpaceDN w:val="0"/>
      <w:adjustRightInd w:val="0"/>
    </w:pPr>
    <w:rPr>
      <w:rFonts w:ascii="Courier New" w:eastAsia="Calibri" w:hAnsi="Courier New" w:cs="Courier New"/>
      <w:sz w:val="20"/>
      <w:szCs w:val="20"/>
      <w:lang w:eastAsia="de-DE"/>
    </w:rPr>
  </w:style>
  <w:style w:type="character" w:customStyle="1" w:styleId="NurTextZchn">
    <w:name w:val="Nur Text Zchn"/>
    <w:basedOn w:val="Absatz-Standardschriftart"/>
    <w:link w:val="NurText"/>
    <w:uiPriority w:val="99"/>
    <w:rsid w:val="004B50AA"/>
    <w:rPr>
      <w:rFonts w:ascii="Courier New" w:eastAsia="Calibri" w:hAnsi="Courier New" w:cs="Courier New"/>
      <w:sz w:val="20"/>
      <w:szCs w:val="20"/>
      <w:lang w:val="fr-FR" w:eastAsia="de-DE"/>
    </w:rPr>
  </w:style>
  <w:style w:type="numbering" w:customStyle="1" w:styleId="KeineListe1">
    <w:name w:val="Keine Liste1"/>
    <w:next w:val="KeineListe"/>
    <w:uiPriority w:val="99"/>
    <w:semiHidden/>
    <w:unhideWhenUsed/>
    <w:rsid w:val="004B50AA"/>
  </w:style>
  <w:style w:type="paragraph" w:customStyle="1" w:styleId="BODY">
    <w:name w:val="BODY"/>
    <w:basedOn w:val="Normal"/>
    <w:uiPriority w:val="99"/>
    <w:rsid w:val="004B50AA"/>
    <w:pPr>
      <w:widowControl/>
    </w:pPr>
    <w:rPr>
      <w:rFonts w:ascii="Arialpt" w:hAnsi="Arialpt" w:cs="Arialpt"/>
      <w:sz w:val="20"/>
      <w:szCs w:val="20"/>
    </w:rPr>
  </w:style>
  <w:style w:type="paragraph" w:customStyle="1" w:styleId="P">
    <w:name w:val="P"/>
    <w:basedOn w:val="BODY"/>
    <w:uiPriority w:val="99"/>
    <w:rsid w:val="004B50AA"/>
    <w:pPr>
      <w:tabs>
        <w:tab w:val="left" w:pos="0"/>
      </w:tabs>
      <w:ind w:right="6220"/>
    </w:pPr>
    <w:rPr>
      <w:rFonts w:ascii="Arial" w:hAnsi="Arial" w:cs="Arial"/>
    </w:rPr>
  </w:style>
  <w:style w:type="character" w:customStyle="1" w:styleId="B">
    <w:name w:val="B"/>
    <w:uiPriority w:val="99"/>
    <w:rsid w:val="004B50AA"/>
    <w:rPr>
      <w:b/>
      <w:bCs/>
    </w:rPr>
  </w:style>
  <w:style w:type="paragraph" w:styleId="StandardWeb">
    <w:name w:val="Normal (Web)"/>
    <w:basedOn w:val="Standard"/>
    <w:uiPriority w:val="99"/>
    <w:unhideWhenUsed/>
    <w:rsid w:val="004B50AA"/>
    <w:pPr>
      <w:spacing w:before="100" w:beforeAutospacing="1" w:after="100" w:afterAutospacing="1"/>
    </w:pPr>
    <w:rPr>
      <w:rFonts w:ascii="Times New Roman" w:eastAsia="Times New Roman" w:hAnsi="Times New Roman" w:cs="Times New Roman"/>
      <w:lang w:eastAsia="de-DE"/>
    </w:rPr>
  </w:style>
  <w:style w:type="character" w:styleId="Kommentarzeichen">
    <w:name w:val="annotation reference"/>
    <w:uiPriority w:val="99"/>
    <w:semiHidden/>
    <w:unhideWhenUsed/>
    <w:rsid w:val="004B50AA"/>
    <w:rPr>
      <w:sz w:val="16"/>
      <w:szCs w:val="16"/>
    </w:rPr>
  </w:style>
  <w:style w:type="paragraph" w:styleId="Kommentartext">
    <w:name w:val="annotation text"/>
    <w:basedOn w:val="Standard"/>
    <w:link w:val="KommentartextZchn"/>
    <w:uiPriority w:val="99"/>
    <w:semiHidden/>
    <w:unhideWhenUsed/>
    <w:rsid w:val="004B50AA"/>
    <w:rPr>
      <w:rFonts w:ascii="Calibri" w:eastAsia="Calibri" w:hAnsi="Calibri" w:cs="Times New Roman"/>
      <w:sz w:val="20"/>
      <w:szCs w:val="20"/>
      <w:lang w:eastAsia="en-US"/>
    </w:rPr>
  </w:style>
  <w:style w:type="character" w:customStyle="1" w:styleId="KommentartextZchn">
    <w:name w:val="Kommentartext Zchn"/>
    <w:basedOn w:val="Absatz-Standardschriftart"/>
    <w:link w:val="Kommentartext"/>
    <w:uiPriority w:val="99"/>
    <w:semiHidden/>
    <w:rsid w:val="004B50AA"/>
    <w:rPr>
      <w:rFonts w:ascii="Calibri" w:eastAsia="Calibri" w:hAnsi="Calibri" w:cs="Times New Roman"/>
      <w:sz w:val="20"/>
      <w:szCs w:val="20"/>
      <w:lang w:val="fr-FR" w:eastAsia="en-US"/>
    </w:rPr>
  </w:style>
  <w:style w:type="paragraph" w:styleId="Kommentarthema">
    <w:name w:val="annotation subject"/>
    <w:basedOn w:val="Kommentartext"/>
    <w:next w:val="Kommentartext"/>
    <w:link w:val="KommentarthemaZchn"/>
    <w:uiPriority w:val="99"/>
    <w:semiHidden/>
    <w:unhideWhenUsed/>
    <w:rsid w:val="004B50AA"/>
    <w:rPr>
      <w:b/>
      <w:bCs/>
    </w:rPr>
  </w:style>
  <w:style w:type="character" w:customStyle="1" w:styleId="KommentarthemaZchn">
    <w:name w:val="Kommentarthema Zchn"/>
    <w:basedOn w:val="KommentartextZchn"/>
    <w:link w:val="Kommentarthema"/>
    <w:uiPriority w:val="99"/>
    <w:semiHidden/>
    <w:rsid w:val="004B50AA"/>
    <w:rPr>
      <w:rFonts w:ascii="Calibri" w:eastAsia="Calibri" w:hAnsi="Calibri" w:cs="Times New Roman"/>
      <w:b/>
      <w:bCs/>
      <w:sz w:val="20"/>
      <w:szCs w:val="20"/>
      <w:lang w:val="fr-FR" w:eastAsia="en-US"/>
    </w:rPr>
  </w:style>
  <w:style w:type="paragraph" w:styleId="berarbeitung">
    <w:name w:val="Revision"/>
    <w:hidden/>
    <w:uiPriority w:val="71"/>
    <w:rsid w:val="004B50AA"/>
    <w:rPr>
      <w:rFonts w:ascii="Calibri" w:eastAsia="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prefa.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5105</Words>
  <Characters>32167</Characters>
  <Application>Microsoft Office Word</Application>
  <DocSecurity>0</DocSecurity>
  <Lines>268</Lines>
  <Paragraphs>74</Paragraphs>
  <ScaleCrop>false</ScaleCrop>
  <HeadingPairs>
    <vt:vector size="2" baseType="variant">
      <vt:variant>
        <vt:lpstr>Titel</vt:lpstr>
      </vt:variant>
      <vt:variant>
        <vt:i4>1</vt:i4>
      </vt:variant>
    </vt:vector>
  </HeadingPairs>
  <TitlesOfParts>
    <vt:vector size="1" baseType="lpstr">
      <vt:lpstr/>
    </vt:vector>
  </TitlesOfParts>
  <Company>XXL Communication</Company>
  <LinksUpToDate>false</LinksUpToDate>
  <CharactersWithSpaces>37198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Philippe F. LORRE</dc:creator>
  <cp:keywords/>
  <dc:description/>
  <cp:lastModifiedBy>Klaus Fabian</cp:lastModifiedBy>
  <cp:revision>96</cp:revision>
  <dcterms:created xsi:type="dcterms:W3CDTF">2018-07-07T12:26:00Z</dcterms:created>
  <dcterms:modified xsi:type="dcterms:W3CDTF">2018-07-23T11:46:00Z</dcterms:modified>
</cp:coreProperties>
</file>